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B0020" w14:textId="77777777" w:rsidR="00DC3555" w:rsidRPr="00DC3555" w:rsidRDefault="00DC3555" w:rsidP="00DC3555">
      <w:pPr>
        <w:jc w:val="center"/>
        <w:rPr>
          <w:b/>
          <w:u w:val="single"/>
        </w:rPr>
      </w:pPr>
      <w:r w:rsidRPr="00DC3555">
        <w:rPr>
          <w:b/>
          <w:bCs/>
          <w:u w:val="single"/>
        </w:rPr>
        <w:t>Setting Aside International Nexus: Have Taxing Jurisdictions Been Preoccupied with Whether or Not They Could, Without Stopping to Think if They Should?</w:t>
      </w:r>
    </w:p>
    <w:p w14:paraId="54B0AB88" w14:textId="77777777" w:rsidR="00DC3555" w:rsidRDefault="00DC3555" w:rsidP="00DC3555">
      <w:pPr>
        <w:jc w:val="both"/>
      </w:pPr>
    </w:p>
    <w:p w14:paraId="6F976895" w14:textId="7AE510BC" w:rsidR="00794C7D" w:rsidRDefault="00794C7D" w:rsidP="00794C7D">
      <w:pPr>
        <w:jc w:val="center"/>
      </w:pPr>
      <w:r>
        <w:t>Sam Pollack</w:t>
      </w:r>
    </w:p>
    <w:p w14:paraId="30E45176" w14:textId="77777777" w:rsidR="00794C7D" w:rsidRDefault="00794C7D" w:rsidP="00DC3555">
      <w:pPr>
        <w:jc w:val="both"/>
      </w:pPr>
    </w:p>
    <w:p w14:paraId="18B16D6E" w14:textId="24F58F7F" w:rsidR="00DC3555" w:rsidRDefault="00DC3555" w:rsidP="00DC3555">
      <w:pPr>
        <w:jc w:val="both"/>
      </w:pPr>
      <w:r>
        <w:t>Since the compromise at the League of Nations in 1928, the international income tax concept of nexus, under which a jurisdiction may claim the right to tax income, has enjoyed a long period of consensus and stability.  This idea of international nexus includes a jurisdiction’s right to tax: (i) income on the basis of residence or source (as limited by the jurisdiction’s income tax treaties)</w:t>
      </w:r>
      <w:r w:rsidR="00391DBD">
        <w:t>,</w:t>
      </w:r>
      <w:r>
        <w:t xml:space="preserve"> and (ii) the business profits of a nonresident when (and only when) the nonresident maintains a physical presence within the jurisdiction that rises to the level of a permanent establishment.  These concepts underlie all international income tax treaties and, until recently, have been regarded as fundamental guiding principles of international tax policy and law.  </w:t>
      </w:r>
      <w:r w:rsidR="00421D25">
        <w:t>Our analysis begins in Part I with a discussion of the principles of jurisdiction to tax on th</w:t>
      </w:r>
      <w:r w:rsidR="00291205">
        <w:t>e basis of source and residence, the compromise of the League of Nations, and permanent establishment.</w:t>
      </w:r>
    </w:p>
    <w:p w14:paraId="69BFD373" w14:textId="77777777" w:rsidR="00DC3555" w:rsidRDefault="00DC3555" w:rsidP="00DC3555">
      <w:pPr>
        <w:jc w:val="both"/>
      </w:pPr>
    </w:p>
    <w:p w14:paraId="7F1FCF58" w14:textId="4CCDE4AB" w:rsidR="00DE4B99" w:rsidRDefault="00291205" w:rsidP="00DC3555">
      <w:pPr>
        <w:jc w:val="both"/>
      </w:pPr>
      <w:r>
        <w:t>The concept of</w:t>
      </w:r>
      <w:r w:rsidR="00C454BA">
        <w:t xml:space="preserve"> permanent establishment in the international tax space is similar to the “nexus” concept in the State tax space.  </w:t>
      </w:r>
      <w:r w:rsidR="00D36214">
        <w:t xml:space="preserve">Generally, </w:t>
      </w:r>
      <w:r w:rsidR="00DE4B99">
        <w:t xml:space="preserve">a </w:t>
      </w:r>
      <w:r w:rsidR="00887E57">
        <w:t xml:space="preserve">source </w:t>
      </w:r>
      <w:r w:rsidR="00DE4B99">
        <w:t>country is not permitted to tax the business income of a nonresident unless the activities of the nonresident rise to the level of a permanent establishment in the country.  When the nonresident</w:t>
      </w:r>
      <w:r w:rsidR="00391DBD">
        <w:t>’</w:t>
      </w:r>
      <w:r w:rsidR="00DE4B99">
        <w:t>s activities rise to the level of</w:t>
      </w:r>
      <w:r w:rsidR="00D36214">
        <w:t xml:space="preserve"> a permanent establishment, the</w:t>
      </w:r>
      <w:r w:rsidR="00887E57">
        <w:t xml:space="preserve"> source</w:t>
      </w:r>
      <w:r w:rsidR="00D36214">
        <w:t xml:space="preserve"> country is permitted to tax the profits of the nonresident, but only those profits connected to the permanent establishment.  This rule </w:t>
      </w:r>
      <w:r w:rsidR="0020082F">
        <w:t xml:space="preserve">arises </w:t>
      </w:r>
      <w:r w:rsidR="00D36214">
        <w:t xml:space="preserve">pursuant to the Business Profits article of </w:t>
      </w:r>
      <w:r w:rsidR="0020082F">
        <w:t xml:space="preserve">a bilateral income </w:t>
      </w:r>
      <w:r w:rsidR="00D36214">
        <w:t>tax treaty (the “PE Requirement”)</w:t>
      </w:r>
      <w:r w:rsidR="0020082F">
        <w:t xml:space="preserve"> and, therefore, only applies between countries that have entered into such a tax treaty</w:t>
      </w:r>
      <w:r w:rsidR="00D36214">
        <w:t xml:space="preserve">.  Similarly, in the </w:t>
      </w:r>
      <w:r w:rsidR="00391DBD">
        <w:t>S</w:t>
      </w:r>
      <w:r w:rsidR="00D36214">
        <w:t>tate tax space, a St</w:t>
      </w:r>
      <w:r w:rsidR="00E11881">
        <w:t>ate is not permitted to impose a tax on a nonresident unless the nonresident has sufficient nexus (i.e., a threshold of required minimum contact) with the State.  When a nonresident has sufficient nexus with the State, the State is permitted to tax the</w:t>
      </w:r>
      <w:r w:rsidR="00887E57">
        <w:t xml:space="preserve"> </w:t>
      </w:r>
      <w:r w:rsidR="00537E0B">
        <w:t xml:space="preserve">income from </w:t>
      </w:r>
      <w:r w:rsidR="00887E57">
        <w:t>activity of the</w:t>
      </w:r>
      <w:r w:rsidR="00E11881">
        <w:t xml:space="preserve"> nonresident </w:t>
      </w:r>
      <w:r w:rsidR="00887E57">
        <w:t>to the extent sourced to the State</w:t>
      </w:r>
      <w:r w:rsidR="009E5F3B">
        <w:t xml:space="preserve">.  </w:t>
      </w:r>
    </w:p>
    <w:p w14:paraId="02626ABE" w14:textId="77777777" w:rsidR="009E5F3B" w:rsidRDefault="009E5F3B" w:rsidP="00DC3555">
      <w:pPr>
        <w:jc w:val="both"/>
      </w:pPr>
    </w:p>
    <w:p w14:paraId="14A5B399" w14:textId="6437C87F" w:rsidR="00291205" w:rsidRDefault="00DB13D6" w:rsidP="00DC3555">
      <w:pPr>
        <w:jc w:val="both"/>
      </w:pPr>
      <w:r>
        <w:t xml:space="preserve">Permanent establishment is tied to, and is a measure of, a nonresident’s physical presence in a country.  Historically, nexus </w:t>
      </w:r>
      <w:r w:rsidR="00391DBD">
        <w:t xml:space="preserve">also </w:t>
      </w:r>
      <w:r>
        <w:t>has been tied to a nonresident’s physical presence in</w:t>
      </w:r>
      <w:r w:rsidR="00EB7BB7">
        <w:t xml:space="preserve"> a State. </w:t>
      </w:r>
      <w:r>
        <w:t xml:space="preserve"> </w:t>
      </w:r>
      <w:r w:rsidR="00EB7BB7">
        <w:t>In the State tax context, the rise of the digital age has brought about a complete break between physical presence an</w:t>
      </w:r>
      <w:r w:rsidR="00391DBD">
        <w:t>d</w:t>
      </w:r>
      <w:r w:rsidR="00EB7BB7">
        <w:t xml:space="preserve"> nexus.  Relatedly, as </w:t>
      </w:r>
      <w:r w:rsidR="00830CEF">
        <w:t>business</w:t>
      </w:r>
      <w:r w:rsidR="00626E57">
        <w:t>es have</w:t>
      </w:r>
      <w:r w:rsidR="00EB7BB7">
        <w:t xml:space="preserve"> become more mobile, States have moved to embrace</w:t>
      </w:r>
      <w:r w:rsidR="00626E57">
        <w:t xml:space="preserve"> sourcing</w:t>
      </w:r>
      <w:r w:rsidR="00EB7BB7">
        <w:t xml:space="preserve"> factors that connect income to States that are not mobile, specifically, revenue</w:t>
      </w:r>
      <w:r w:rsidR="00BC043B">
        <w:t xml:space="preserve"> </w:t>
      </w:r>
      <w:r w:rsidR="0098528E">
        <w:t xml:space="preserve">a taxpayer earns </w:t>
      </w:r>
      <w:r w:rsidR="00BC043B">
        <w:t>from customers within a State</w:t>
      </w:r>
      <w:r w:rsidR="00EB7BB7">
        <w:t>.  Finally,</w:t>
      </w:r>
      <w:r w:rsidR="00642B73">
        <w:t xml:space="preserve"> because corporate groups operate as a single unit, States have embrac</w:t>
      </w:r>
      <w:r w:rsidR="00626E57">
        <w:t>ed systems that</w:t>
      </w:r>
      <w:r w:rsidR="00642B73">
        <w:t xml:space="preserve"> apportion taxing rights to income that ignore the separate entity status of groups of entities that operate as a unit. </w:t>
      </w:r>
      <w:r w:rsidR="00291205">
        <w:t xml:space="preserve"> Part II of our discussion reviews and analyzes these trends in State tax.</w:t>
      </w:r>
    </w:p>
    <w:p w14:paraId="33E7AD62" w14:textId="77777777" w:rsidR="00291205" w:rsidRDefault="00291205" w:rsidP="00DC3555">
      <w:pPr>
        <w:jc w:val="both"/>
      </w:pPr>
    </w:p>
    <w:p w14:paraId="59F346F1" w14:textId="11CA518F" w:rsidR="00BA2C1C" w:rsidRDefault="008A5057" w:rsidP="00DC3555">
      <w:pPr>
        <w:jc w:val="both"/>
      </w:pPr>
      <w:r>
        <w:t xml:space="preserve">The </w:t>
      </w:r>
      <w:r w:rsidR="00830CEF">
        <w:t xml:space="preserve">trajectory of </w:t>
      </w:r>
      <w:r w:rsidR="00BD0AE6">
        <w:t xml:space="preserve">the </w:t>
      </w:r>
      <w:r>
        <w:t xml:space="preserve">international </w:t>
      </w:r>
      <w:r w:rsidR="0067556D">
        <w:t xml:space="preserve">tax </w:t>
      </w:r>
      <w:r>
        <w:t>community’</w:t>
      </w:r>
      <w:r w:rsidR="00642B73">
        <w:t>s response to the rise of the dig</w:t>
      </w:r>
      <w:r w:rsidR="0067556D">
        <w:t>ital age has been</w:t>
      </w:r>
      <w:r w:rsidR="00830CEF">
        <w:t xml:space="preserve"> </w:t>
      </w:r>
      <w:r w:rsidR="00C65D8E">
        <w:t>less coherent</w:t>
      </w:r>
      <w:r w:rsidR="00830CEF">
        <w:t>, especially with respec</w:t>
      </w:r>
      <w:r w:rsidR="00C65D8E">
        <w:t>t to permanent establishment.  C</w:t>
      </w:r>
      <w:r w:rsidR="00830CEF">
        <w:t xml:space="preserve">ountries began to introduce extraterritorial tax regimes </w:t>
      </w:r>
      <w:r w:rsidR="00DC3EDE">
        <w:t>with goals that focused less on preventing tax avoidance and more on circumventing the limitations of the PE Requirement.  Specifically</w:t>
      </w:r>
      <w:r w:rsidR="00291205">
        <w:t>, in 2015</w:t>
      </w:r>
      <w:r w:rsidR="00DC3EDE">
        <w:t xml:space="preserve">, the </w:t>
      </w:r>
      <w:r w:rsidR="003B077D">
        <w:t>United Kingdom (the “</w:t>
      </w:r>
      <w:r w:rsidR="00DC3EDE">
        <w:t>UK</w:t>
      </w:r>
      <w:r w:rsidR="003B077D">
        <w:t>”)</w:t>
      </w:r>
      <w:r w:rsidR="00DC3EDE">
        <w:t xml:space="preserve"> introduced its diverted profits tax</w:t>
      </w:r>
      <w:r w:rsidR="003620E2">
        <w:t xml:space="preserve"> (“DPT”)</w:t>
      </w:r>
      <w:r w:rsidR="00BD0AE6">
        <w:t xml:space="preserve"> that</w:t>
      </w:r>
      <w:r w:rsidR="00DC3EDE">
        <w:t xml:space="preserve"> included </w:t>
      </w:r>
      <w:r w:rsidR="003620E2">
        <w:t>an avoidance of permanent establishment rule (“Avoidance of PE Rule”), which, under certain circumstance</w:t>
      </w:r>
      <w:r w:rsidR="00BD0AE6">
        <w:t>s</w:t>
      </w:r>
      <w:r w:rsidR="003620E2">
        <w:t xml:space="preserve">, essentially deemed a permanent establishment to exist when there was not one.  Then, beginning in 2019, </w:t>
      </w:r>
      <w:r w:rsidR="003620E2">
        <w:lastRenderedPageBreak/>
        <w:t>countries began rushing to implement digital services taxes (“DST</w:t>
      </w:r>
      <w:r w:rsidR="001A597A">
        <w:t>s</w:t>
      </w:r>
      <w:r w:rsidR="003620E2">
        <w:t xml:space="preserve">”), which are taxes on the </w:t>
      </w:r>
      <w:r w:rsidR="002A1866">
        <w:t>revenue of enterprises earned with respect to the provision of certain digital services, such the provision of a digital interface, digital advertising</w:t>
      </w:r>
      <w:r w:rsidR="00BD0AE6">
        <w:t>,</w:t>
      </w:r>
      <w:r w:rsidR="002A1866">
        <w:t xml:space="preserve"> and user data.  The rise of these regimes indicated, as in the State tax scenario, a dissatisfaction with the PE Requirement</w:t>
      </w:r>
      <w:r w:rsidR="00887E57">
        <w:t xml:space="preserve"> and a view that physical presence (and the degree of physical presen</w:t>
      </w:r>
      <w:r w:rsidR="00BD0AE6">
        <w:t>ce</w:t>
      </w:r>
      <w:r w:rsidR="00887E57">
        <w:t>) no longer provided a workable threshold to determine the point at which a nonresident should become subject to tax</w:t>
      </w:r>
      <w:r w:rsidR="00626E57">
        <w:t xml:space="preserve">.  This presented an issue </w:t>
      </w:r>
      <w:r w:rsidR="00CB2B89">
        <w:t>because</w:t>
      </w:r>
      <w:r w:rsidR="00BD0AE6">
        <w:t>, among other reasons,</w:t>
      </w:r>
      <w:r w:rsidR="00CB2B89">
        <w:t xml:space="preserve"> </w:t>
      </w:r>
      <w:r w:rsidR="008F2349">
        <w:t xml:space="preserve">it </w:t>
      </w:r>
      <w:r w:rsidR="00B334FB">
        <w:t xml:space="preserve">breaches </w:t>
      </w:r>
      <w:r w:rsidR="008F2349">
        <w:t xml:space="preserve">the compromise between the source jurisdiction and the residence jurisdiction that </w:t>
      </w:r>
      <w:r w:rsidR="00CB2B89">
        <w:t>the PE Requirement</w:t>
      </w:r>
      <w:r w:rsidR="008F2349">
        <w:t xml:space="preserve"> represents.  The compromise is that, u</w:t>
      </w:r>
      <w:r w:rsidR="00CB2B89">
        <w:t xml:space="preserve">ntil the PE Requirement is satisfied, the residence country has the right to tax all of the income of its resident.  </w:t>
      </w:r>
      <w:r w:rsidR="008F2349">
        <w:t>Then, o</w:t>
      </w:r>
      <w:r w:rsidR="00CB2B89">
        <w:t>nce the PE Requirement</w:t>
      </w:r>
      <w:r w:rsidR="008F2349">
        <w:t xml:space="preserve"> is satisfied, </w:t>
      </w:r>
      <w:r w:rsidR="00CB2B89">
        <w:t>the source country has the right to tax all of the income associated with the permanent establishment</w:t>
      </w:r>
      <w:r w:rsidR="008F2349">
        <w:t>.  If the source country imposes a tax absent a permanent establishment, it is having its cake and eating it too</w:t>
      </w:r>
      <w:r w:rsidR="00F974AA">
        <w:t xml:space="preserve">, appropriating taxing rights absent a permanent establishment, and still laying claim to full taxing rights </w:t>
      </w:r>
      <w:r w:rsidR="001A597A" w:rsidRPr="001A597A">
        <w:t>when there is a permanent establishment in the source country</w:t>
      </w:r>
      <w:r w:rsidR="00F974AA">
        <w:t xml:space="preserve">.  </w:t>
      </w:r>
      <w:r w:rsidR="0013339B">
        <w:t xml:space="preserve">Thus, if permanent establishment was to survive </w:t>
      </w:r>
      <w:r w:rsidR="00BA2C1C">
        <w:t>as a compromise between source and residence countries, r</w:t>
      </w:r>
      <w:r w:rsidR="0013339B">
        <w:t xml:space="preserve">egimes like </w:t>
      </w:r>
      <w:r w:rsidR="00E43D44">
        <w:t xml:space="preserve">the </w:t>
      </w:r>
      <w:r w:rsidR="0013339B">
        <w:t>DPT and DST</w:t>
      </w:r>
      <w:r w:rsidR="001A597A">
        <w:t>s</w:t>
      </w:r>
      <w:r w:rsidR="0013339B">
        <w:t xml:space="preserve"> appeared to call for a renegotiation of the </w:t>
      </w:r>
      <w:r w:rsidR="00BA2C1C">
        <w:t xml:space="preserve">parameters to determine what constitutes a </w:t>
      </w:r>
      <w:r w:rsidR="0013339B">
        <w:t xml:space="preserve">permanent </w:t>
      </w:r>
      <w:r w:rsidR="00BA2C1C">
        <w:t>establishment.  That</w:t>
      </w:r>
      <w:r w:rsidR="001E62E2">
        <w:t xml:space="preserve"> renegotiation</w:t>
      </w:r>
      <w:r w:rsidR="00BA2C1C">
        <w:t xml:space="preserve"> did not happen.</w:t>
      </w:r>
    </w:p>
    <w:p w14:paraId="64F56A2F" w14:textId="77777777" w:rsidR="00BA2C1C" w:rsidRDefault="00BA2C1C" w:rsidP="00DC3555">
      <w:pPr>
        <w:jc w:val="both"/>
      </w:pPr>
    </w:p>
    <w:p w14:paraId="35F776B9" w14:textId="603E54E2" w:rsidR="00F1142A" w:rsidRDefault="00BF3DEE" w:rsidP="00DC3555">
      <w:pPr>
        <w:jc w:val="both"/>
      </w:pPr>
      <w:r>
        <w:t>Instead, in the wake of a wave of jurisdictions implementing DSTs, and the threat of a second wave</w:t>
      </w:r>
      <w:r w:rsidR="0017427B">
        <w:t xml:space="preserve"> of more DSTs</w:t>
      </w:r>
      <w:r>
        <w:t xml:space="preserve">, the </w:t>
      </w:r>
      <w:r w:rsidR="00F75E5A">
        <w:t>Organization for Economic Co-operation and Development (“OECD”)</w:t>
      </w:r>
      <w:r w:rsidR="001A597A">
        <w:t xml:space="preserve">/G20 </w:t>
      </w:r>
      <w:r>
        <w:t>Inclusive Framework</w:t>
      </w:r>
      <w:r w:rsidR="001A597A">
        <w:t xml:space="preserve"> on </w:t>
      </w:r>
      <w:r w:rsidR="00F75E5A">
        <w:t xml:space="preserve">Base Erosion and Profit Shifting (“BEPS”) </w:t>
      </w:r>
      <w:r w:rsidR="001A597A">
        <w:t>(the “Inclusive Framework”)</w:t>
      </w:r>
      <w:r>
        <w:t xml:space="preserve"> formally adopted the two-pillar solution </w:t>
      </w:r>
      <w:r w:rsidRPr="000240AB">
        <w:t>to address tax challenges arising from the digitalization of the world economy</w:t>
      </w:r>
      <w:r w:rsidR="00997059">
        <w:t>.  As we address</w:t>
      </w:r>
      <w:r w:rsidR="001E62E2">
        <w:t xml:space="preserve"> below</w:t>
      </w:r>
      <w:r w:rsidR="00997059">
        <w:t>, the two</w:t>
      </w:r>
      <w:r w:rsidR="001A597A">
        <w:t xml:space="preserve"> </w:t>
      </w:r>
      <w:r w:rsidR="00997059">
        <w:t xml:space="preserve">pillars leave permanent establishment in its current form largely intact </w:t>
      </w:r>
      <w:r w:rsidR="0053007C">
        <w:t>and</w:t>
      </w:r>
      <w:r w:rsidR="001A597A">
        <w:t>,</w:t>
      </w:r>
      <w:r w:rsidR="0053007C">
        <w:t xml:space="preserve"> in certain aspects</w:t>
      </w:r>
      <w:r w:rsidR="001A597A">
        <w:t>,</w:t>
      </w:r>
      <w:r w:rsidR="0053007C">
        <w:t xml:space="preserve"> employ</w:t>
      </w:r>
      <w:r w:rsidR="00997059">
        <w:t xml:space="preserve"> permanent establishment</w:t>
      </w:r>
      <w:r w:rsidR="0053007C">
        <w:t xml:space="preserve"> far beyond its current application</w:t>
      </w:r>
      <w:r w:rsidR="00997059">
        <w:t xml:space="preserve">.  </w:t>
      </w:r>
      <w:r w:rsidR="00EE5C33">
        <w:t>Pillar I would be implemented by multilateral convention.  Pillar II</w:t>
      </w:r>
      <w:r w:rsidR="00D7045A">
        <w:t>,</w:t>
      </w:r>
      <w:r w:rsidR="00EE5C33">
        <w:t xml:space="preserve"> on the other hand</w:t>
      </w:r>
      <w:r w:rsidR="00D7045A">
        <w:t>,</w:t>
      </w:r>
      <w:r w:rsidR="00EE5C33">
        <w:t xml:space="preserve"> is a design for unilateral measures </w:t>
      </w:r>
      <w:r w:rsidR="00D7045A">
        <w:t>to be implemented on a jurisdiction</w:t>
      </w:r>
      <w:r w:rsidR="0053007C">
        <w:t>-by-</w:t>
      </w:r>
      <w:r w:rsidR="00D7045A">
        <w:t xml:space="preserve">jurisdiction basis.  </w:t>
      </w:r>
      <w:r w:rsidR="00941F82">
        <w:t>One of the c</w:t>
      </w:r>
      <w:r w:rsidR="00BB75E1">
        <w:t>omponents of Pillar II, UTPR (</w:t>
      </w:r>
      <w:r w:rsidR="0053007C">
        <w:t>a provision that we discuss in detail</w:t>
      </w:r>
      <w:r w:rsidR="00F12752">
        <w:t>) innovates a tax that a jurisdiction imposes on a resident corporation or permanent establishment with respect</w:t>
      </w:r>
      <w:r w:rsidR="00AF6726">
        <w:t xml:space="preserve"> to</w:t>
      </w:r>
      <w:r w:rsidR="00F12752">
        <w:t xml:space="preserve"> income that is not sourced to the taxing jurisdiction and that is not earned by a resident of the taxing jurisdiction.  Like the other unilateral measures mentioned above, </w:t>
      </w:r>
      <w:r w:rsidR="00E43D44">
        <w:t xml:space="preserve">the </w:t>
      </w:r>
      <w:r w:rsidR="00F12752">
        <w:t xml:space="preserve">DPT and DSTs, UTPR would be implemented either in violation of existing tax treaties or in a manner contrived to </w:t>
      </w:r>
      <w:r w:rsidR="00705D2F">
        <w:t xml:space="preserve">avoid treaty obligations.  For this reason, these regimes, </w:t>
      </w:r>
      <w:r w:rsidR="00E43D44">
        <w:t xml:space="preserve">the </w:t>
      </w:r>
      <w:r w:rsidR="00705D2F">
        <w:t>DPT, DST</w:t>
      </w:r>
      <w:r w:rsidR="00E43D44">
        <w:t>s</w:t>
      </w:r>
      <w:r w:rsidR="00A83852">
        <w:t>,</w:t>
      </w:r>
      <w:r w:rsidR="00705D2F">
        <w:t xml:space="preserve"> and UTPR, are referred to as “Treaty Avoidance Regimes.”</w:t>
      </w:r>
      <w:r w:rsidR="00291205">
        <w:t xml:space="preserve">  </w:t>
      </w:r>
      <w:r w:rsidR="00381B28">
        <w:t>We describe and analyze t</w:t>
      </w:r>
      <w:r w:rsidR="00291205">
        <w:t xml:space="preserve">hese regimes in Part III. </w:t>
      </w:r>
    </w:p>
    <w:p w14:paraId="71927564" w14:textId="77777777" w:rsidR="004F7E3B" w:rsidRDefault="004F7E3B" w:rsidP="00DC3555">
      <w:pPr>
        <w:jc w:val="both"/>
      </w:pPr>
    </w:p>
    <w:p w14:paraId="1AAE6388" w14:textId="0D069AC0" w:rsidR="004F7E3B" w:rsidRDefault="004F7E3B" w:rsidP="00DC3555">
      <w:pPr>
        <w:jc w:val="both"/>
      </w:pPr>
      <w:r>
        <w:t>In Part IV</w:t>
      </w:r>
      <w:r w:rsidR="00A83852">
        <w:t>,</w:t>
      </w:r>
      <w:r>
        <w:t xml:space="preserve"> we analyze </w:t>
      </w:r>
      <w:r w:rsidR="007F6120">
        <w:t xml:space="preserve">whether countries implementing Treaty Avoidance Regimes succeed in avoiding their obligations under tax treaties.  We also draw from our earlier State tax discussion (in Part II) to explore whether enactment by Congress of similar provisions would fail constitutional muster.  </w:t>
      </w:r>
    </w:p>
    <w:p w14:paraId="2F2D28F5" w14:textId="77777777" w:rsidR="00671347" w:rsidRDefault="00671347" w:rsidP="00DC3555">
      <w:pPr>
        <w:jc w:val="both"/>
      </w:pPr>
    </w:p>
    <w:p w14:paraId="7288FC98" w14:textId="21595D9B" w:rsidR="00D707F7" w:rsidRDefault="00671347" w:rsidP="001C7CD8">
      <w:pPr>
        <w:jc w:val="both"/>
      </w:pPr>
      <w:r>
        <w:t>In</w:t>
      </w:r>
      <w:r w:rsidR="0042403C">
        <w:t xml:space="preserve"> Part V, </w:t>
      </w:r>
      <w:r w:rsidR="001C4E9D">
        <w:t xml:space="preserve">we consider </w:t>
      </w:r>
      <w:r w:rsidR="00DC3555">
        <w:t xml:space="preserve">whether </w:t>
      </w:r>
      <w:r w:rsidR="001C7CD8">
        <w:t xml:space="preserve">and to what extent </w:t>
      </w:r>
      <w:r w:rsidR="00DC3555">
        <w:t xml:space="preserve">a fundamental readjustment to the concept of international nexus </w:t>
      </w:r>
      <w:r w:rsidR="001C4E9D">
        <w:t>is warranted,</w:t>
      </w:r>
      <w:r w:rsidR="00DC3555">
        <w:t xml:space="preserve"> </w:t>
      </w:r>
      <w:r w:rsidR="001C7CD8">
        <w:t xml:space="preserve">and what alternatives to the current trajectory still may exist.  </w:t>
      </w:r>
      <w:r w:rsidR="00BB10FC">
        <w:t>In Part VI, we conclude.</w:t>
      </w:r>
    </w:p>
    <w:p w14:paraId="0C4F38E6" w14:textId="22D4452E" w:rsidR="00D707F7" w:rsidRDefault="00D707F7" w:rsidP="003B077D">
      <w:pPr>
        <w:pStyle w:val="Heading1"/>
      </w:pPr>
      <w:r w:rsidRPr="00D707F7">
        <w:lastRenderedPageBreak/>
        <w:t>Source, Residence, P</w:t>
      </w:r>
      <w:r w:rsidR="007D08CC">
        <w:t xml:space="preserve">ermanent </w:t>
      </w:r>
      <w:r w:rsidRPr="00D707F7">
        <w:t>E</w:t>
      </w:r>
      <w:r w:rsidR="007D08CC">
        <w:t>stablishment</w:t>
      </w:r>
      <w:r w:rsidR="00A83852">
        <w:t>,</w:t>
      </w:r>
      <w:r w:rsidRPr="00D707F7">
        <w:t xml:space="preserve"> and the Compromise of the League of Nations</w:t>
      </w:r>
    </w:p>
    <w:p w14:paraId="564695C3" w14:textId="77777777" w:rsidR="00D707F7" w:rsidRDefault="00D707F7" w:rsidP="009D1963">
      <w:pPr>
        <w:keepNext/>
        <w:jc w:val="both"/>
      </w:pPr>
    </w:p>
    <w:p w14:paraId="6CEC3B3F" w14:textId="5B63AA38" w:rsidR="00D707F7" w:rsidRDefault="00D707F7" w:rsidP="001901FC">
      <w:pPr>
        <w:jc w:val="both"/>
      </w:pPr>
      <w:r>
        <w:t>Tracing back to the League of Nations, countries have recognized two</w:t>
      </w:r>
      <w:r w:rsidR="00C2238C">
        <w:t>,</w:t>
      </w:r>
      <w:r>
        <w:t xml:space="preserve"> and only two</w:t>
      </w:r>
      <w:r w:rsidR="00C2238C">
        <w:t>,</w:t>
      </w:r>
      <w:r>
        <w:t xml:space="preserve"> legitimate grounds for a country to claim jurisdiction to tax international income, source and residence.</w:t>
      </w:r>
      <w:bookmarkStart w:id="0" w:name="_Ref148887577"/>
      <w:r>
        <w:rPr>
          <w:rStyle w:val="FootnoteReference"/>
        </w:rPr>
        <w:footnoteReference w:id="1"/>
      </w:r>
      <w:bookmarkEnd w:id="0"/>
      <w:r>
        <w:t xml:space="preserve">  If the source of an item of income is from within a country and the income is earned by a person who resides outside of that country, the source country has a legitimate claim to tax the income of the nonresident.  If the source of an item of </w:t>
      </w:r>
      <w:r w:rsidR="00723D11">
        <w:t xml:space="preserve">income </w:t>
      </w:r>
      <w:r>
        <w:t>is from outside of a country, but the income is earned by a resident of the country, the country has a legitimate claim to tax the income of its resident.  T</w:t>
      </w:r>
      <w:r w:rsidR="00671347">
        <w:t>he competing claim</w:t>
      </w:r>
      <w:r>
        <w:t xml:space="preserve"> </w:t>
      </w:r>
      <w:r w:rsidR="00671347">
        <w:t>between</w:t>
      </w:r>
      <w:r>
        <w:t xml:space="preserve"> source </w:t>
      </w:r>
      <w:r w:rsidR="00671347">
        <w:t xml:space="preserve">and residence countries is </w:t>
      </w:r>
      <w:r>
        <w:t>the fundamental issue that the League of Nations sought to solve: double taxation.</w:t>
      </w:r>
      <w:r w:rsidR="001F66ED">
        <w:rPr>
          <w:rStyle w:val="FootnoteReference"/>
        </w:rPr>
        <w:footnoteReference w:id="2"/>
      </w:r>
      <w:r>
        <w:t xml:space="preserve">  Specifically, if both the source country and the resident country tax an item of international income, the result is that the item of income is taxed twice.  The sentiment leading up to the 1920s compromise was that</w:t>
      </w:r>
      <w:r w:rsidR="00723D11">
        <w:t>,</w:t>
      </w:r>
      <w:r>
        <w:t xml:space="preserve"> even though a source jurisdiction and residence jurisdiction each has a legitimate claim to tax an item of international income, it is nevertheless an inappropriate result for the same item of income to be taxed twice.</w:t>
      </w:r>
      <w:r w:rsidR="001F66ED">
        <w:rPr>
          <w:rStyle w:val="FootnoteReference"/>
        </w:rPr>
        <w:footnoteReference w:id="3"/>
      </w:r>
      <w:r>
        <w:t xml:space="preserve">  It is important to pause here, however, to reflect that</w:t>
      </w:r>
      <w:r w:rsidR="009F03FB">
        <w:t>,</w:t>
      </w:r>
      <w:r>
        <w:t xml:space="preserve"> even before the League of Nations approached the issue of double taxation, the premise was and since has been that source and residence are the only legitimate bases for a country to claim jurisdiction to tax income. </w:t>
      </w:r>
    </w:p>
    <w:p w14:paraId="3DA9BED2" w14:textId="77777777" w:rsidR="00D707F7" w:rsidRDefault="00D707F7" w:rsidP="001901FC">
      <w:pPr>
        <w:jc w:val="both"/>
      </w:pPr>
    </w:p>
    <w:p w14:paraId="340A5D86" w14:textId="4EF83BC6" w:rsidR="00D707F7" w:rsidRDefault="00D707F7" w:rsidP="001901FC">
      <w:pPr>
        <w:jc w:val="both"/>
      </w:pPr>
      <w:r>
        <w:t>Moving on from that fundamenta</w:t>
      </w:r>
      <w:r w:rsidR="001F66ED">
        <w:t>l premise, the framework for the League of Nation’s</w:t>
      </w:r>
      <w:r>
        <w:t xml:space="preserve"> compromise</w:t>
      </w:r>
      <w:r w:rsidR="001F66ED">
        <w:t xml:space="preserve"> to avoid double taxation</w:t>
      </w:r>
      <w:r>
        <w:t xml:space="preserve"> has generally been characterized as one that distinguishes between active business and passive income.</w:t>
      </w:r>
      <w:r w:rsidR="001F66ED">
        <w:rPr>
          <w:rStyle w:val="FootnoteReference"/>
        </w:rPr>
        <w:footnoteReference w:id="4"/>
      </w:r>
      <w:r>
        <w:t xml:space="preserve">  Source jurisdiction</w:t>
      </w:r>
      <w:r w:rsidR="009F03FB">
        <w:t>s</w:t>
      </w:r>
      <w:r>
        <w:t xml:space="preserve"> keep the right to tax active business income and forgo the right to tax passive income</w:t>
      </w:r>
      <w:r w:rsidR="009F03FB">
        <w:t>,</w:t>
      </w:r>
      <w:r>
        <w:t xml:space="preserve"> and residence jurisdictions keep the right to tax passive income and forgo the right to tax </w:t>
      </w:r>
      <w:r w:rsidR="009F03FB">
        <w:t xml:space="preserve">active business </w:t>
      </w:r>
      <w:r>
        <w:t>income.</w:t>
      </w:r>
      <w:r w:rsidR="00AF74EB">
        <w:rPr>
          <w:rStyle w:val="FootnoteReference"/>
        </w:rPr>
        <w:footnoteReference w:id="5"/>
      </w:r>
      <w:r>
        <w:t xml:space="preserve">  Thus, a source jurisdiction generally yield</w:t>
      </w:r>
      <w:r w:rsidR="009F03FB">
        <w:t>s</w:t>
      </w:r>
      <w:r>
        <w:t xml:space="preserve"> the right to tax passive income items</w:t>
      </w:r>
      <w:r w:rsidR="009F03FB">
        <w:t>,</w:t>
      </w:r>
      <w:r>
        <w:t xml:space="preserve"> such as dividends, interest</w:t>
      </w:r>
      <w:r w:rsidR="009F03FB">
        <w:t>,</w:t>
      </w:r>
      <w:r>
        <w:t xml:space="preserve"> and royalties, and has the sole right to tax business (i.e., active) income.</w:t>
      </w:r>
      <w:r w:rsidR="00AF74EB">
        <w:rPr>
          <w:rStyle w:val="FootnoteReference"/>
        </w:rPr>
        <w:footnoteReference w:id="6"/>
      </w:r>
      <w:r>
        <w:t xml:space="preserve"> </w:t>
      </w:r>
    </w:p>
    <w:p w14:paraId="0CB2B25A" w14:textId="77777777" w:rsidR="00D707F7" w:rsidRDefault="00D707F7" w:rsidP="001901FC">
      <w:pPr>
        <w:jc w:val="both"/>
      </w:pPr>
    </w:p>
    <w:p w14:paraId="3E70E3EA" w14:textId="13C45040" w:rsidR="00D707F7" w:rsidRDefault="00D707F7" w:rsidP="001901FC">
      <w:pPr>
        <w:jc w:val="both"/>
      </w:pPr>
      <w:r>
        <w:t xml:space="preserve">This compromise fundamentally relies on and is modified by </w:t>
      </w:r>
      <w:r w:rsidR="003027A1">
        <w:t>the</w:t>
      </w:r>
      <w:r>
        <w:t xml:space="preserve"> key principle</w:t>
      </w:r>
      <w:r w:rsidR="003027A1">
        <w:t xml:space="preserve"> of</w:t>
      </w:r>
      <w:r>
        <w:t xml:space="preserve"> permanent establishment.</w:t>
      </w:r>
      <w:r w:rsidR="006704DE">
        <w:rPr>
          <w:rStyle w:val="FootnoteReference"/>
        </w:rPr>
        <w:footnoteReference w:id="7"/>
      </w:r>
      <w:r>
        <w:t xml:space="preserve">  The permanent establishment principle is appropriately viewed as a limitation on a source jurisdiction</w:t>
      </w:r>
      <w:r w:rsidR="009F03FB">
        <w:t>’</w:t>
      </w:r>
      <w:r>
        <w:t>s right to tax business income.</w:t>
      </w:r>
      <w:r w:rsidR="00E64F75">
        <w:rPr>
          <w:rStyle w:val="FootnoteReference"/>
        </w:rPr>
        <w:footnoteReference w:id="8"/>
      </w:r>
      <w:r>
        <w:t xml:space="preserve">  It generally limits a source jurisdiction</w:t>
      </w:r>
      <w:r w:rsidR="009F03FB">
        <w:t>’</w:t>
      </w:r>
      <w:r>
        <w:t xml:space="preserve">s right to tax international income to circumstances when the income is related to a fixed physical presence in the source country through which business operations that are directly related to the </w:t>
      </w:r>
      <w:r>
        <w:lastRenderedPageBreak/>
        <w:t xml:space="preserve">production of such income </w:t>
      </w:r>
      <w:r w:rsidR="00E64F75">
        <w:t>are conducted.</w:t>
      </w:r>
      <w:bookmarkStart w:id="1" w:name="_Ref149430491"/>
      <w:r w:rsidR="00E64F75">
        <w:rPr>
          <w:rStyle w:val="FootnoteReference"/>
        </w:rPr>
        <w:footnoteReference w:id="9"/>
      </w:r>
      <w:bookmarkEnd w:id="1"/>
      <w:r>
        <w:t xml:space="preserve">  In the view of the architects of the modern international tax system</w:t>
      </w:r>
      <w:r w:rsidR="009018DC">
        <w:t>, although a country had the right to tax business income sourced to the country, it was appropriate to limit the exercise of such right to instances in which the income was connected to a permanent establishment</w:t>
      </w:r>
      <w:r>
        <w:t>.  One architect observed:</w:t>
      </w:r>
    </w:p>
    <w:p w14:paraId="0BE44AD9" w14:textId="77777777" w:rsidR="00D707F7" w:rsidRDefault="00D707F7" w:rsidP="001901FC">
      <w:pPr>
        <w:jc w:val="both"/>
      </w:pPr>
    </w:p>
    <w:p w14:paraId="50181B35" w14:textId="69D5925A" w:rsidR="00D707F7" w:rsidRDefault="00D707F7" w:rsidP="009D1963">
      <w:pPr>
        <w:ind w:left="1440" w:right="1440"/>
        <w:jc w:val="both"/>
      </w:pPr>
      <w:r w:rsidRPr="00893660">
        <w:t>After World War I when g</w:t>
      </w:r>
      <w:r>
        <w:t xml:space="preserve">overnments were in dire need of </w:t>
      </w:r>
      <w:r w:rsidRPr="00893660">
        <w:t>revenue to rebuild their economie</w:t>
      </w:r>
      <w:r>
        <w:t xml:space="preserve">s, they began to try to tax the </w:t>
      </w:r>
      <w:r w:rsidRPr="00893660">
        <w:t>earnings of the visiting businessman</w:t>
      </w:r>
      <w:r>
        <w:t xml:space="preserve"> and the profits of the foreign </w:t>
      </w:r>
      <w:r w:rsidRPr="00893660">
        <w:t xml:space="preserve">company on goods sold through </w:t>
      </w:r>
      <w:r>
        <w:t xml:space="preserve">him. </w:t>
      </w:r>
      <w:r w:rsidR="00D15E33">
        <w:t xml:space="preserve"> </w:t>
      </w:r>
      <w:r>
        <w:t xml:space="preserve">Canada even tried to tax a </w:t>
      </w:r>
      <w:r w:rsidRPr="00893660">
        <w:t>United States firm on profits from advertising its wares and receiving mail orders from customers in its territory.</w:t>
      </w:r>
      <w:r w:rsidRPr="00893660">
        <w:cr/>
      </w:r>
    </w:p>
    <w:p w14:paraId="47D898D2" w14:textId="48C12EB5" w:rsidR="00D707F7" w:rsidRDefault="00D707F7" w:rsidP="009D1963">
      <w:pPr>
        <w:ind w:left="1440" w:right="1440"/>
        <w:jc w:val="both"/>
      </w:pPr>
      <w:r w:rsidRPr="00893660">
        <w:t xml:space="preserve">In the early 1920s, the </w:t>
      </w:r>
      <w:r>
        <w:t xml:space="preserve">British Board of Inland Revenue </w:t>
      </w:r>
      <w:r w:rsidRPr="00893660">
        <w:t>sought to impose liability . . . [on] sales through a local commission agent . . . [e]ven if the nonresident and his British intermediary took pains to conclude the contract abroad . . . .</w:t>
      </w:r>
      <w:r>
        <w:t xml:space="preserve">  </w:t>
      </w:r>
      <w:r>
        <w:rPr>
          <w:rStyle w:val="FootnoteReference"/>
        </w:rPr>
        <w:footnoteReference w:id="10"/>
      </w:r>
    </w:p>
    <w:p w14:paraId="5B6B7E96" w14:textId="77777777" w:rsidR="00D707F7" w:rsidRDefault="00D707F7" w:rsidP="001901FC">
      <w:pPr>
        <w:jc w:val="both"/>
      </w:pPr>
    </w:p>
    <w:p w14:paraId="45E43994" w14:textId="77777777" w:rsidR="00D707F7" w:rsidRDefault="00D707F7" w:rsidP="001901FC">
      <w:pPr>
        <w:jc w:val="both"/>
      </w:pPr>
      <w:r>
        <w:t>Thus, related to solving the issue of double taxation, another objective of the League of Nations was to reach a consensus that prevented source jurisdictions from taxing business income when the income did not relate to a fixed physical presence in the jurisdiction.</w:t>
      </w:r>
      <w:r w:rsidR="006704DE">
        <w:rPr>
          <w:rStyle w:val="FootnoteReference"/>
        </w:rPr>
        <w:footnoteReference w:id="11"/>
      </w:r>
      <w:r>
        <w:t xml:space="preserve">  </w:t>
      </w:r>
    </w:p>
    <w:p w14:paraId="5F81AA9F" w14:textId="77777777" w:rsidR="00D707F7" w:rsidRDefault="00D707F7" w:rsidP="001901FC">
      <w:pPr>
        <w:jc w:val="both"/>
      </w:pPr>
    </w:p>
    <w:p w14:paraId="0C7B7706" w14:textId="17B8725E" w:rsidR="00A41C0A" w:rsidRDefault="009018DC" w:rsidP="001901FC">
      <w:pPr>
        <w:jc w:val="both"/>
      </w:pPr>
      <w:r>
        <w:t>This observation is amusing, as the author expressed incredulity to countries</w:t>
      </w:r>
      <w:r w:rsidR="00D15E33">
        <w:t>’</w:t>
      </w:r>
      <w:r>
        <w:t xml:space="preserve"> audaciousness in </w:t>
      </w:r>
      <w:r w:rsidR="00D15E33">
        <w:t xml:space="preserve">their </w:t>
      </w:r>
      <w:r>
        <w:t>hunger for tax and yet, as we will see</w:t>
      </w:r>
      <w:r w:rsidR="00701952">
        <w:t>,</w:t>
      </w:r>
      <w:r>
        <w:t xml:space="preserve"> nations are </w:t>
      </w:r>
      <w:r w:rsidR="00D15E33">
        <w:t xml:space="preserve">again in dire need for revenue and are </w:t>
      </w:r>
      <w:r>
        <w:t>back to their old tricks</w:t>
      </w:r>
      <w:r w:rsidR="0042605E">
        <w:t>.  Aside from the irony, the above i</w:t>
      </w:r>
      <w:r w:rsidR="00D15E33">
        <w:t>s</w:t>
      </w:r>
      <w:r w:rsidR="0042605E">
        <w:t xml:space="preserve"> informative.  We see that doing business in another country other than through a permanent establishment was prevalent enough that countries saw taxing such activity as an attractive target for taxation.  Yet, counties’</w:t>
      </w:r>
      <w:r w:rsidR="00A41C0A">
        <w:t xml:space="preserve"> </w:t>
      </w:r>
      <w:r w:rsidR="0042605E">
        <w:t>submitting</w:t>
      </w:r>
      <w:r w:rsidR="00A41C0A">
        <w:t xml:space="preserve"> to such temptation and</w:t>
      </w:r>
      <w:r w:rsidR="0042605E">
        <w:t xml:space="preserve"> tax</w:t>
      </w:r>
      <w:r w:rsidR="00A41C0A">
        <w:t>ing</w:t>
      </w:r>
      <w:r w:rsidR="0042605E">
        <w:t xml:space="preserve"> business income absent a permanent </w:t>
      </w:r>
      <w:r w:rsidR="00A41C0A">
        <w:t>establishment</w:t>
      </w:r>
      <w:r w:rsidR="0042605E">
        <w:t xml:space="preserve"> </w:t>
      </w:r>
      <w:r w:rsidR="00A41C0A">
        <w:t>was viewed as preposterous behavior</w:t>
      </w:r>
      <w:r w:rsidR="00D15E33">
        <w:t>,</w:t>
      </w:r>
      <w:r w:rsidR="00A41C0A">
        <w:t xml:space="preserve"> </w:t>
      </w:r>
      <w:r w:rsidR="00916BFF">
        <w:t xml:space="preserve">the </w:t>
      </w:r>
      <w:r w:rsidR="00A41C0A">
        <w:t>resort to which was driven by desperation.</w:t>
      </w:r>
      <w:r w:rsidR="0042605E">
        <w:t xml:space="preserve">  </w:t>
      </w:r>
    </w:p>
    <w:p w14:paraId="7791CBD0" w14:textId="77777777" w:rsidR="00A41C0A" w:rsidRDefault="00A41C0A" w:rsidP="001901FC">
      <w:pPr>
        <w:jc w:val="both"/>
      </w:pPr>
    </w:p>
    <w:p w14:paraId="2F44D1F7" w14:textId="3187E8F8" w:rsidR="00D707F7" w:rsidRDefault="00D707F7" w:rsidP="001901FC">
      <w:pPr>
        <w:jc w:val="both"/>
      </w:pPr>
      <w:r>
        <w:t xml:space="preserve">The compromise of the League of Nations </w:t>
      </w:r>
      <w:r w:rsidR="0089163C">
        <w:t>is reflected in</w:t>
      </w:r>
      <w:r>
        <w:t xml:space="preserve"> bilateral treaties, based on the model prepared by the League of Nations.</w:t>
      </w:r>
      <w:r w:rsidR="0089163C">
        <w:rPr>
          <w:rStyle w:val="FootnoteReference"/>
        </w:rPr>
        <w:footnoteReference w:id="12"/>
      </w:r>
      <w:r>
        <w:t xml:space="preserve">  Treaties generally operate to set boundaries on source countries</w:t>
      </w:r>
      <w:r w:rsidR="00D15E33">
        <w:t>’</w:t>
      </w:r>
      <w:r>
        <w:t xml:space="preserve"> right to tax income and place the burden of mitigating double taxation on residence countries.</w:t>
      </w:r>
      <w:bookmarkStart w:id="2" w:name="_Ref149430437"/>
      <w:r w:rsidR="0089163C">
        <w:rPr>
          <w:rStyle w:val="FootnoteReference"/>
        </w:rPr>
        <w:footnoteReference w:id="13"/>
      </w:r>
      <w:bookmarkEnd w:id="2"/>
      <w:r>
        <w:t xml:space="preserve">  As noted above, the model treaty took different approaches to limiting source countries’ rights to tax </w:t>
      </w:r>
      <w:r w:rsidR="001C625F">
        <w:t>passive-</w:t>
      </w:r>
      <w:r>
        <w:t>type income and their rights to tax active</w:t>
      </w:r>
      <w:r w:rsidR="001C625F">
        <w:t>-</w:t>
      </w:r>
      <w:r>
        <w:t xml:space="preserve"> (business) type income.  With respect to </w:t>
      </w:r>
      <w:r w:rsidR="001C625F">
        <w:t>passive-</w:t>
      </w:r>
      <w:r>
        <w:t>type income</w:t>
      </w:r>
      <w:r w:rsidR="00D15E33">
        <w:t>,</w:t>
      </w:r>
      <w:r>
        <w:t xml:space="preserve"> the limitation is a fixed percentage that varies between treaties based on the agreements reached between the contracting states.  For example, it is common in U</w:t>
      </w:r>
      <w:r w:rsidR="00D15E33">
        <w:t>.</w:t>
      </w:r>
      <w:r>
        <w:t>S</w:t>
      </w:r>
      <w:r w:rsidR="00D15E33">
        <w:t>.</w:t>
      </w:r>
      <w:r>
        <w:t xml:space="preserve"> income tax treaties for the contracting states to agree that a source country fully </w:t>
      </w:r>
      <w:r>
        <w:lastRenderedPageBreak/>
        <w:t>relinquish</w:t>
      </w:r>
      <w:r w:rsidR="001671D5">
        <w:t>es</w:t>
      </w:r>
      <w:r>
        <w:t xml:space="preserve"> its right to tax royalties.</w:t>
      </w:r>
      <w:r w:rsidR="00A73DE3">
        <w:rPr>
          <w:rStyle w:val="FootnoteReference"/>
        </w:rPr>
        <w:footnoteReference w:id="14"/>
      </w:r>
      <w:r>
        <w:t xml:space="preserve">  In some treaties, however, the source countr</w:t>
      </w:r>
      <w:r w:rsidR="001671D5">
        <w:t>y’s</w:t>
      </w:r>
      <w:r>
        <w:t xml:space="preserve"> right to tax royalties is subject to a ceiling instead of being relinquished entirely.</w:t>
      </w:r>
      <w:r>
        <w:rPr>
          <w:rStyle w:val="FootnoteReference"/>
        </w:rPr>
        <w:footnoteReference w:id="15"/>
      </w:r>
      <w:r>
        <w:t xml:space="preserve">  In some of those countries, the ceiling for taxing royalties</w:t>
      </w:r>
      <w:r w:rsidR="00A73DE3">
        <w:t xml:space="preserve"> depends on the type of royalty.</w:t>
      </w:r>
      <w:r w:rsidR="00A73DE3">
        <w:rPr>
          <w:rStyle w:val="FootnoteReference"/>
        </w:rPr>
        <w:footnoteReference w:id="16"/>
      </w:r>
      <w:r>
        <w:t xml:space="preserve">  The same is true for interest,</w:t>
      </w:r>
      <w:r w:rsidR="00916BFF">
        <w:t xml:space="preserve"> as</w:t>
      </w:r>
      <w:r>
        <w:t xml:space="preserve"> in some cases the source country relinquishes all rights,</w:t>
      </w:r>
      <w:r w:rsidR="00A73DE3">
        <w:rPr>
          <w:rStyle w:val="FootnoteReference"/>
        </w:rPr>
        <w:footnoteReference w:id="17"/>
      </w:r>
      <w:r>
        <w:t xml:space="preserve"> in others there is a ceiling</w:t>
      </w:r>
      <w:r w:rsidR="00A73DE3">
        <w:t>,</w:t>
      </w:r>
      <w:r w:rsidR="00A73DE3">
        <w:rPr>
          <w:rStyle w:val="FootnoteReference"/>
        </w:rPr>
        <w:footnoteReference w:id="18"/>
      </w:r>
      <w:r>
        <w:t xml:space="preserve"> and in yet others there is a ceiling that varies depending on the type of interest.</w:t>
      </w:r>
      <w:r w:rsidR="00A73DE3">
        <w:rPr>
          <w:rStyle w:val="FootnoteReference"/>
        </w:rPr>
        <w:footnoteReference w:id="19"/>
      </w:r>
      <w:r>
        <w:t xml:space="preserve">  </w:t>
      </w:r>
      <w:r w:rsidR="001671D5">
        <w:t>The s</w:t>
      </w:r>
      <w:r>
        <w:t>ource countr</w:t>
      </w:r>
      <w:r w:rsidR="001671D5">
        <w:t>y</w:t>
      </w:r>
      <w:r>
        <w:t xml:space="preserve"> generally retain</w:t>
      </w:r>
      <w:r w:rsidR="001671D5">
        <w:t>s</w:t>
      </w:r>
      <w:r>
        <w:t xml:space="preserve"> the right to tax a certain percentage of dividends, except when the dividend is from a corporate subsidiary to a corporate parent in which case it is common for source countries to relinquish their rights to tax dividends entirely.</w:t>
      </w:r>
      <w:r w:rsidR="00B900BB">
        <w:rPr>
          <w:rStyle w:val="FootnoteReference"/>
        </w:rPr>
        <w:footnoteReference w:id="20"/>
      </w:r>
      <w:r>
        <w:t xml:space="preserve">  </w:t>
      </w:r>
    </w:p>
    <w:p w14:paraId="7E37BDAE" w14:textId="77777777" w:rsidR="00D707F7" w:rsidRDefault="00D707F7" w:rsidP="001901FC">
      <w:pPr>
        <w:jc w:val="both"/>
      </w:pPr>
    </w:p>
    <w:p w14:paraId="3B74AAF5" w14:textId="3BBF3681" w:rsidR="00D707F7" w:rsidRDefault="00D707F7" w:rsidP="001901FC">
      <w:pPr>
        <w:jc w:val="both"/>
      </w:pPr>
      <w:r>
        <w:t>The boundary that treaties place on a source countr</w:t>
      </w:r>
      <w:r w:rsidR="00072736">
        <w:t>y’s</w:t>
      </w:r>
      <w:r>
        <w:t xml:space="preserve"> right to tax business income is all-or-nothing</w:t>
      </w:r>
      <w:r w:rsidR="0088416A">
        <w:t>,</w:t>
      </w:r>
      <w:r>
        <w:t xml:space="preserve"> based on whether</w:t>
      </w:r>
      <w:r w:rsidR="0088416A">
        <w:t xml:space="preserve"> </w:t>
      </w:r>
      <w:r>
        <w:t xml:space="preserve">the business income is attributable to a </w:t>
      </w:r>
      <w:r w:rsidR="00B900BB">
        <w:t xml:space="preserve">permanent establishment </w:t>
      </w:r>
      <w:r>
        <w:t>inside the source country.</w:t>
      </w:r>
      <w:r w:rsidR="0088416A">
        <w:rPr>
          <w:rStyle w:val="FootnoteReference"/>
        </w:rPr>
        <w:footnoteReference w:id="21"/>
      </w:r>
      <w:r>
        <w:t xml:space="preserve">  The compromise with respect to the taxation of business profits has been viewed as </w:t>
      </w:r>
      <w:r w:rsidRPr="001823AF">
        <w:t>“the mos</w:t>
      </w:r>
      <w:r>
        <w:t>t important field of a</w:t>
      </w:r>
      <w:r w:rsidR="002C779C">
        <w:t>greement” among the committee of technical experts appointed by the League of Nations</w:t>
      </w:r>
      <w:r>
        <w:t>.</w:t>
      </w:r>
      <w:r w:rsidR="0088416A">
        <w:rPr>
          <w:rStyle w:val="FootnoteReference"/>
        </w:rPr>
        <w:footnoteReference w:id="22"/>
      </w:r>
      <w:r>
        <w:t xml:space="preserve">  </w:t>
      </w:r>
      <w:r w:rsidR="002C779C">
        <w:t>The permanent establishment</w:t>
      </w:r>
      <w:r>
        <w:t xml:space="preserve"> rule in the business profits provision</w:t>
      </w:r>
      <w:r w:rsidR="002C779C">
        <w:t xml:space="preserve"> in treaties is</w:t>
      </w:r>
      <w:r>
        <w:t xml:space="preserve"> relatively standard.  For example</w:t>
      </w:r>
      <w:r w:rsidR="00456FD2">
        <w:t>,</w:t>
      </w:r>
      <w:r>
        <w:t xml:space="preserve"> the </w:t>
      </w:r>
      <w:r w:rsidR="002C779C">
        <w:t>“Business Profits” provision in Article 7, paragraph 1 of the</w:t>
      </w:r>
      <w:r>
        <w:t xml:space="preserve"> U</w:t>
      </w:r>
      <w:r w:rsidR="001671D5">
        <w:t>.</w:t>
      </w:r>
      <w:r>
        <w:t>S</w:t>
      </w:r>
      <w:r w:rsidR="001671D5">
        <w:t>.</w:t>
      </w:r>
      <w:r>
        <w:t xml:space="preserve"> Model Treaty provides:</w:t>
      </w:r>
    </w:p>
    <w:p w14:paraId="05CF3E77" w14:textId="77777777" w:rsidR="00D707F7" w:rsidRDefault="00D707F7" w:rsidP="001901FC">
      <w:pPr>
        <w:jc w:val="both"/>
      </w:pPr>
    </w:p>
    <w:p w14:paraId="7A9C1D50" w14:textId="323B7BCC" w:rsidR="00D707F7" w:rsidRDefault="00D707F7" w:rsidP="009D1963">
      <w:pPr>
        <w:ind w:left="1440" w:right="1440"/>
        <w:jc w:val="both"/>
      </w:pPr>
      <w:r>
        <w:t xml:space="preserve">The business profits of an enterprise of a Contracting State shall be taxable only in that State unless the enterprise carries on business in the other Contracting State through a permanent establishment situated therein. </w:t>
      </w:r>
      <w:r w:rsidR="00072736">
        <w:t xml:space="preserve"> </w:t>
      </w:r>
      <w:r>
        <w:t>If the enterprise carries on business as aforesaid, the business profits of the enterprise may be taxed in the other State but only so much of them as are attributable to that permanent establishment.</w:t>
      </w:r>
    </w:p>
    <w:p w14:paraId="521D8E35" w14:textId="77777777" w:rsidR="00D707F7" w:rsidRDefault="00D707F7" w:rsidP="001901FC">
      <w:pPr>
        <w:jc w:val="both"/>
      </w:pPr>
    </w:p>
    <w:p w14:paraId="52E562BE" w14:textId="54B46FB7" w:rsidR="00D707F7" w:rsidRDefault="00D707F7" w:rsidP="001901FC">
      <w:pPr>
        <w:jc w:val="both"/>
      </w:pPr>
      <w:r>
        <w:t>The next paragraph of the U</w:t>
      </w:r>
      <w:r w:rsidR="00072736">
        <w:t>.</w:t>
      </w:r>
      <w:r>
        <w:t>S</w:t>
      </w:r>
      <w:r w:rsidR="00072736">
        <w:t>.</w:t>
      </w:r>
      <w:r>
        <w:t xml:space="preserve"> Model Treaty explains that the business profits attributable to the </w:t>
      </w:r>
      <w:r w:rsidR="00072736">
        <w:t xml:space="preserve">permanent establishment </w:t>
      </w:r>
      <w:r>
        <w:t xml:space="preserve">are the business profits that </w:t>
      </w:r>
      <w:r w:rsidR="000078AF">
        <w:t>“</w:t>
      </w:r>
      <w:r>
        <w:t>it might be expected to make</w:t>
      </w:r>
      <w:r w:rsidR="000078AF">
        <w:t xml:space="preserve"> . . .</w:t>
      </w:r>
      <w:r>
        <w:t xml:space="preserve"> if it were a </w:t>
      </w:r>
      <w:r w:rsidR="000078AF">
        <w:t xml:space="preserve">separate </w:t>
      </w:r>
      <w:r>
        <w:t>and independent enterprise engaged in the same or similar activities under the same or similar conditions.</w:t>
      </w:r>
      <w:r w:rsidR="002C779C">
        <w:t>”</w:t>
      </w:r>
      <w:r w:rsidR="00352CCE">
        <w:rPr>
          <w:rStyle w:val="FootnoteReference"/>
        </w:rPr>
        <w:footnoteReference w:id="23"/>
      </w:r>
      <w:r>
        <w:t xml:space="preserve">  The first two paragraphs of the OECD Model Treaty</w:t>
      </w:r>
      <w:r w:rsidR="00F12CBF">
        <w:t>’s “Business Profits” provision</w:t>
      </w:r>
      <w:r>
        <w:t xml:space="preserve"> are roughly the same.</w:t>
      </w:r>
      <w:r w:rsidR="002C779C">
        <w:rPr>
          <w:rStyle w:val="FootnoteReference"/>
        </w:rPr>
        <w:footnoteReference w:id="24"/>
      </w:r>
      <w:r>
        <w:t xml:space="preserve">  These paragraphs</w:t>
      </w:r>
      <w:r w:rsidR="002C779C">
        <w:t>,</w:t>
      </w:r>
      <w:r>
        <w:t xml:space="preserve"> and their like in other treaties</w:t>
      </w:r>
      <w:r w:rsidR="00072736">
        <w:t>,</w:t>
      </w:r>
      <w:r>
        <w:t xml:space="preserve"> are the PE Requirement.</w:t>
      </w:r>
      <w:r w:rsidR="004763B4" w:rsidDel="004763B4">
        <w:t xml:space="preserve"> </w:t>
      </w:r>
    </w:p>
    <w:p w14:paraId="4509E48C" w14:textId="77777777" w:rsidR="00D707F7" w:rsidRDefault="00D707F7" w:rsidP="001901FC">
      <w:pPr>
        <w:jc w:val="both"/>
      </w:pPr>
    </w:p>
    <w:p w14:paraId="27919A50" w14:textId="06AFE5B9" w:rsidR="00D707F7" w:rsidRDefault="00D707F7" w:rsidP="001901FC">
      <w:pPr>
        <w:jc w:val="both"/>
      </w:pPr>
      <w:r>
        <w:lastRenderedPageBreak/>
        <w:t>Having established a PE Requirement, the next step is to</w:t>
      </w:r>
      <w:r w:rsidR="00F12CBF">
        <w:t xml:space="preserve"> determine what constitutes a permanent establishment</w:t>
      </w:r>
      <w:r>
        <w:t xml:space="preserve">.  With some, but not much, variation between treaties, an enterprise has a permanent establishment in a country if either of two situations </w:t>
      </w:r>
      <w:r w:rsidR="003B1232">
        <w:t>applies</w:t>
      </w:r>
      <w:r>
        <w:t>.  First, an enterprise has a permanent establishment if it has a fixed place of business in the country through which the enterprise carries on a business (e.g., an office, factory, mine, etc</w:t>
      </w:r>
      <w:r w:rsidR="0036159F">
        <w:t xml:space="preserve">.). </w:t>
      </w:r>
      <w:r w:rsidR="00393005">
        <w:t xml:space="preserve"> </w:t>
      </w:r>
      <w:r w:rsidR="0036159F">
        <w:t>However, a</w:t>
      </w:r>
      <w:r>
        <w:t xml:space="preserve"> </w:t>
      </w:r>
      <w:r w:rsidR="0036159F">
        <w:t>“</w:t>
      </w:r>
      <w:r>
        <w:t>fixed place</w:t>
      </w:r>
      <w:r w:rsidR="0036159F">
        <w:t>,”</w:t>
      </w:r>
      <w:r>
        <w:t xml:space="preserve"> </w:t>
      </w:r>
      <w:r w:rsidR="0036159F">
        <w:t xml:space="preserve">for this purpose, excludes </w:t>
      </w:r>
      <w:r>
        <w:t xml:space="preserve">business </w:t>
      </w:r>
      <w:r w:rsidR="0036159F">
        <w:t xml:space="preserve">activities </w:t>
      </w:r>
      <w:r>
        <w:t>where the only activities conducted are of a preparatory or auxiliary nature with respect to the business of the enterprise (e.g., facilities solely for the purpose of storage, display</w:t>
      </w:r>
      <w:r w:rsidR="000A4D68">
        <w:t>,</w:t>
      </w:r>
      <w:r>
        <w:t xml:space="preserve"> or delivery of goods belonging to the enterprise, a fixed place of business solely for the purpose of purchasing goods or merchandise or of collecting information for the enterprise).</w:t>
      </w:r>
      <w:r w:rsidR="00F12CBF">
        <w:rPr>
          <w:rStyle w:val="FootnoteReference"/>
        </w:rPr>
        <w:footnoteReference w:id="25"/>
      </w:r>
      <w:r>
        <w:t xml:space="preserve">  Second, an enterprise has a permanent establishment in a country if an agent of the enterprise</w:t>
      </w:r>
      <w:r w:rsidR="0036159F">
        <w:t xml:space="preserve"> who is in the country</w:t>
      </w:r>
      <w:r>
        <w:t>, other than an agent of independent status, regularly negotiates or concludes contracts on behalf of the enterprise.</w:t>
      </w:r>
      <w:r w:rsidR="00C174EA">
        <w:rPr>
          <w:rStyle w:val="FootnoteReference"/>
        </w:rPr>
        <w:footnoteReference w:id="26"/>
      </w:r>
      <w:r>
        <w:t xml:space="preserve">  Thus, for example, an officer or employee of an enterprise who regularly concludes contracts on behalf of the enterprise </w:t>
      </w:r>
      <w:r w:rsidR="000A4D68">
        <w:t xml:space="preserve">in a country </w:t>
      </w:r>
      <w:r>
        <w:t>will generally give rise to a permanent establishment.</w:t>
      </w:r>
      <w:r w:rsidR="00C174EA">
        <w:rPr>
          <w:rStyle w:val="FootnoteReference"/>
        </w:rPr>
        <w:footnoteReference w:id="27"/>
      </w:r>
      <w:r>
        <w:t xml:space="preserve">  On the other hand, an agent of independent status, </w:t>
      </w:r>
      <w:r w:rsidR="00423819">
        <w:t xml:space="preserve">a </w:t>
      </w:r>
      <w:r>
        <w:t xml:space="preserve">person acting as </w:t>
      </w:r>
      <w:r w:rsidR="00423819">
        <w:t xml:space="preserve">an </w:t>
      </w:r>
      <w:r>
        <w:t xml:space="preserve">agent for an enterprise in pursuit of </w:t>
      </w:r>
      <w:r w:rsidR="00423819">
        <w:t xml:space="preserve">its </w:t>
      </w:r>
      <w:r>
        <w:t>own separate business operation (e.g., commission agents, independent distributors)</w:t>
      </w:r>
      <w:r w:rsidR="000A4D68">
        <w:t>,</w:t>
      </w:r>
      <w:r>
        <w:t xml:space="preserve"> generally do</w:t>
      </w:r>
      <w:r w:rsidR="00433BA7">
        <w:t>es</w:t>
      </w:r>
      <w:r>
        <w:t xml:space="preserve"> not create a permanent establishment for an enterprise, even if </w:t>
      </w:r>
      <w:r w:rsidR="00433BA7">
        <w:t xml:space="preserve">that agent </w:t>
      </w:r>
      <w:r>
        <w:t>habitually conclude</w:t>
      </w:r>
      <w:r w:rsidR="00433BA7">
        <w:t>s</w:t>
      </w:r>
      <w:r>
        <w:t xml:space="preserve"> contracts on behalf of the enterprise.</w:t>
      </w:r>
      <w:r w:rsidR="00C174EA">
        <w:rPr>
          <w:rStyle w:val="FootnoteReference"/>
        </w:rPr>
        <w:footnoteReference w:id="28"/>
      </w:r>
      <w:r>
        <w:t xml:space="preserve">  </w:t>
      </w:r>
    </w:p>
    <w:p w14:paraId="17D9C588" w14:textId="77777777" w:rsidR="00D707F7" w:rsidRDefault="00D707F7" w:rsidP="001901FC">
      <w:pPr>
        <w:jc w:val="both"/>
      </w:pPr>
    </w:p>
    <w:p w14:paraId="187BBD6A" w14:textId="250C9059" w:rsidR="00D707F7" w:rsidRDefault="00D707F7" w:rsidP="001901FC">
      <w:pPr>
        <w:jc w:val="both"/>
      </w:pPr>
      <w:r>
        <w:t xml:space="preserve">The specific treaty provisions applicable to </w:t>
      </w:r>
      <w:r w:rsidR="002E2FA0">
        <w:t>passive-</w:t>
      </w:r>
      <w:r>
        <w:t>type income and the business income provision that applies to active</w:t>
      </w:r>
      <w:r w:rsidR="00423819">
        <w:t>-</w:t>
      </w:r>
      <w:r>
        <w:t>type income limit a source countr</w:t>
      </w:r>
      <w:r w:rsidR="00423819">
        <w:t>y’s</w:t>
      </w:r>
      <w:r>
        <w:t xml:space="preserve"> right to tax income.  However, a coun</w:t>
      </w:r>
      <w:r w:rsidR="00C501D6">
        <w:t>try’s right to tax its residents</w:t>
      </w:r>
      <w:r>
        <w:t xml:space="preserve"> generally</w:t>
      </w:r>
      <w:r w:rsidR="00423819">
        <w:t xml:space="preserve"> is</w:t>
      </w:r>
      <w:r>
        <w:t xml:space="preserve"> not limited.</w:t>
      </w:r>
      <w:r w:rsidR="00C501D6">
        <w:rPr>
          <w:rStyle w:val="FootnoteReference"/>
        </w:rPr>
        <w:footnoteReference w:id="29"/>
      </w:r>
      <w:r>
        <w:t xml:space="preserve">  It is possible to view this as a fundamental principle of tax treaties that goes without saying.</w:t>
      </w:r>
      <w:r w:rsidR="00C501D6">
        <w:rPr>
          <w:rStyle w:val="FootnoteReference"/>
        </w:rPr>
        <w:footnoteReference w:id="30"/>
      </w:r>
      <w:r>
        <w:t xml:space="preserve">  However, most treaties, including all U.S. treaties, contain what is commonly referred to as a </w:t>
      </w:r>
      <w:r w:rsidR="00C501D6">
        <w:t>“</w:t>
      </w:r>
      <w:r w:rsidR="00047455">
        <w:t>saving clause</w:t>
      </w:r>
      <w:r>
        <w:t>,</w:t>
      </w:r>
      <w:r w:rsidR="00C501D6">
        <w:t>”</w:t>
      </w:r>
      <w:r>
        <w:t xml:space="preserve"> which clarifies that</w:t>
      </w:r>
      <w:r w:rsidR="00423819">
        <w:t>,</w:t>
      </w:r>
      <w:r>
        <w:t xml:space="preserve"> except with respect to certain enumerated provisions, the treaty does not limit a country’s right to tax its residents.</w:t>
      </w:r>
      <w:bookmarkStart w:id="3" w:name="_Ref149562373"/>
      <w:r w:rsidR="00C501D6">
        <w:rPr>
          <w:rStyle w:val="FootnoteReference"/>
        </w:rPr>
        <w:footnoteReference w:id="31"/>
      </w:r>
      <w:bookmarkEnd w:id="3"/>
      <w:r>
        <w:t xml:space="preserve">  This is why, for example, residence countries can include in their tax base income from foreign </w:t>
      </w:r>
      <w:r w:rsidR="00E10E1C">
        <w:t>permanent establishments</w:t>
      </w:r>
      <w:r>
        <w:t>, partnerships</w:t>
      </w:r>
      <w:r w:rsidR="00423819">
        <w:t>,</w:t>
      </w:r>
      <w:r>
        <w:t xml:space="preserve"> and controlled foreign corporations.</w:t>
      </w:r>
      <w:r w:rsidR="00C501D6">
        <w:rPr>
          <w:rStyle w:val="FootnoteReference"/>
        </w:rPr>
        <w:footnoteReference w:id="32"/>
      </w:r>
      <w:r>
        <w:t xml:space="preserve">  </w:t>
      </w:r>
    </w:p>
    <w:p w14:paraId="5E1E382A" w14:textId="77777777" w:rsidR="00D707F7" w:rsidRDefault="00D707F7" w:rsidP="001901FC">
      <w:pPr>
        <w:jc w:val="both"/>
      </w:pPr>
    </w:p>
    <w:p w14:paraId="485D86FD" w14:textId="20C1EDBE" w:rsidR="00D707F7" w:rsidRDefault="00D707F7" w:rsidP="001901FC">
      <w:pPr>
        <w:jc w:val="both"/>
      </w:pPr>
      <w:r>
        <w:t xml:space="preserve">However, even though residence countries do not relinquish their rights to tax income, </w:t>
      </w:r>
      <w:r w:rsidR="002E2FA0">
        <w:t xml:space="preserve">treaties </w:t>
      </w:r>
      <w:r>
        <w:t xml:space="preserve">obligate </w:t>
      </w:r>
      <w:r w:rsidR="002E2FA0">
        <w:t xml:space="preserve">them </w:t>
      </w:r>
      <w:r>
        <w:t>to mitigate double taxation.</w:t>
      </w:r>
      <w:r w:rsidR="00047455">
        <w:rPr>
          <w:rStyle w:val="FootnoteReference"/>
        </w:rPr>
        <w:footnoteReference w:id="33"/>
      </w:r>
      <w:r>
        <w:t xml:space="preserve">  Residence countries can mitigate double taxation in one of two ways.  One way is for the residence country to exempt from its own tax the income that </w:t>
      </w:r>
      <w:r>
        <w:lastRenderedPageBreak/>
        <w:t>the source country is permitted to tax.  The other way is for the residence country to provide a tax credit for that tax paid to the source jurisdiction.</w:t>
      </w:r>
      <w:r>
        <w:rPr>
          <w:rStyle w:val="FootnoteReference"/>
        </w:rPr>
        <w:footnoteReference w:id="34"/>
      </w:r>
      <w:r>
        <w:t xml:space="preserve">  </w:t>
      </w:r>
    </w:p>
    <w:p w14:paraId="471068AF" w14:textId="77777777" w:rsidR="00D707F7" w:rsidRDefault="00D707F7" w:rsidP="001901FC">
      <w:pPr>
        <w:jc w:val="both"/>
      </w:pPr>
    </w:p>
    <w:p w14:paraId="5B8CD412" w14:textId="2FD0D41D" w:rsidR="00D707F7" w:rsidRDefault="00D707F7" w:rsidP="001901FC">
      <w:pPr>
        <w:jc w:val="both"/>
      </w:pPr>
      <w:r>
        <w:t xml:space="preserve">The principles that underlie the compromises of the League of Nations are </w:t>
      </w:r>
      <w:r w:rsidR="001E1353">
        <w:t xml:space="preserve">also </w:t>
      </w:r>
      <w:r>
        <w:t xml:space="preserve">reflected in </w:t>
      </w:r>
      <w:r w:rsidR="001E1353">
        <w:t xml:space="preserve">aspects of </w:t>
      </w:r>
      <w:r>
        <w:t xml:space="preserve">U.S. federal </w:t>
      </w:r>
      <w:r w:rsidR="001E1353">
        <w:t>income tax law</w:t>
      </w:r>
      <w:r>
        <w:t>.  When it comes to the taxation of residents, the U</w:t>
      </w:r>
      <w:r w:rsidR="002478D3">
        <w:t xml:space="preserve">nited </w:t>
      </w:r>
      <w:r>
        <w:t>S</w:t>
      </w:r>
      <w:r w:rsidR="002478D3">
        <w:t>tates</w:t>
      </w:r>
      <w:r>
        <w:t xml:space="preserve"> is generous</w:t>
      </w:r>
      <w:r w:rsidR="002478D3">
        <w:t>,</w:t>
      </w:r>
      <w:r>
        <w:t xml:space="preserve"> ceding its taxing rights to source countries through the provision of a foreign tax credit.</w:t>
      </w:r>
      <w:r w:rsidR="001E1353">
        <w:rPr>
          <w:rStyle w:val="FootnoteReference"/>
        </w:rPr>
        <w:footnoteReference w:id="35"/>
      </w:r>
      <w:r>
        <w:t xml:space="preserve">  This serves to protect U.S. residents from double taxation, even in the absence of a tax treaty. </w:t>
      </w:r>
    </w:p>
    <w:p w14:paraId="44B08FDB" w14:textId="77777777" w:rsidR="00D707F7" w:rsidRDefault="00D707F7" w:rsidP="001901FC">
      <w:pPr>
        <w:jc w:val="both"/>
      </w:pPr>
    </w:p>
    <w:p w14:paraId="448B8BD1" w14:textId="4C9F93C2" w:rsidR="00D707F7" w:rsidRDefault="00D707F7" w:rsidP="001901FC">
      <w:pPr>
        <w:jc w:val="both"/>
      </w:pPr>
      <w:r>
        <w:t>For nonresidents, the U.S. approach varies based on whether income is passive</w:t>
      </w:r>
      <w:r w:rsidR="00616DFF">
        <w:t>-</w:t>
      </w:r>
      <w:r>
        <w:t xml:space="preserve"> o</w:t>
      </w:r>
      <w:r w:rsidR="00616DFF">
        <w:t>r</w:t>
      </w:r>
      <w:r>
        <w:t xml:space="preserve"> active</w:t>
      </w:r>
      <w:r w:rsidR="00616DFF">
        <w:t>-</w:t>
      </w:r>
      <w:r>
        <w:t>type income.  With respect to passive</w:t>
      </w:r>
      <w:r w:rsidR="00616DFF">
        <w:t>-</w:t>
      </w:r>
      <w:r>
        <w:t>type income, the U</w:t>
      </w:r>
      <w:r w:rsidR="002478D3">
        <w:t xml:space="preserve">nited </w:t>
      </w:r>
      <w:r>
        <w:t>S</w:t>
      </w:r>
      <w:r w:rsidR="002478D3">
        <w:t>tates</w:t>
      </w:r>
      <w:r>
        <w:t xml:space="preserve"> does not tax the foreign</w:t>
      </w:r>
      <w:r w:rsidR="007127D0">
        <w:t>-</w:t>
      </w:r>
      <w:r>
        <w:t xml:space="preserve">source income of a nonresident, reflecting the principle that source and residence are the only two justifications for </w:t>
      </w:r>
      <w:r w:rsidR="00C251B6">
        <w:t xml:space="preserve">asserting </w:t>
      </w:r>
      <w:r>
        <w:t>taxing jurisdiction over income.</w:t>
      </w:r>
      <w:bookmarkStart w:id="4" w:name="_Ref148895129"/>
      <w:r w:rsidR="001E1353">
        <w:rPr>
          <w:rStyle w:val="FootnoteReference"/>
        </w:rPr>
        <w:footnoteReference w:id="36"/>
      </w:r>
      <w:bookmarkEnd w:id="4"/>
      <w:r>
        <w:t xml:space="preserve">  However, the U</w:t>
      </w:r>
      <w:r w:rsidR="00616DFF">
        <w:t xml:space="preserve">nited </w:t>
      </w:r>
      <w:r>
        <w:t>S</w:t>
      </w:r>
      <w:r w:rsidR="00616DFF">
        <w:t>tates</w:t>
      </w:r>
      <w:r>
        <w:t xml:space="preserve"> does impose withholding tax on payments of U.S</w:t>
      </w:r>
      <w:r w:rsidR="00C251B6">
        <w:t>.-</w:t>
      </w:r>
      <w:r>
        <w:t>source</w:t>
      </w:r>
      <w:r w:rsidR="00C251B6">
        <w:t>,</w:t>
      </w:r>
      <w:r>
        <w:t xml:space="preserve"> </w:t>
      </w:r>
      <w:r w:rsidR="00584AC2">
        <w:t xml:space="preserve">non-business </w:t>
      </w:r>
      <w:r>
        <w:t>income to nonresidents, asserting its jurisdiction to tax as a source country, absent a treaty.</w:t>
      </w:r>
      <w:r>
        <w:rPr>
          <w:rStyle w:val="FootnoteReference"/>
        </w:rPr>
        <w:footnoteReference w:id="37"/>
      </w:r>
    </w:p>
    <w:p w14:paraId="387FA0CD" w14:textId="77777777" w:rsidR="00D707F7" w:rsidRDefault="00D707F7" w:rsidP="001901FC">
      <w:pPr>
        <w:jc w:val="both"/>
      </w:pPr>
    </w:p>
    <w:p w14:paraId="1348A414" w14:textId="2A274A5D" w:rsidR="00D707F7" w:rsidRDefault="00D707F7" w:rsidP="001C7CD8">
      <w:pPr>
        <w:jc w:val="both"/>
      </w:pPr>
      <w:r>
        <w:t>With respect to active (business) income, U.S. law abstains from imposing tax until, at least, a physical presence threshold is crossed.  Specifically, the U.S.</w:t>
      </w:r>
      <w:r w:rsidR="007127D0">
        <w:t>-</w:t>
      </w:r>
      <w:r>
        <w:t xml:space="preserve"> and foreign</w:t>
      </w:r>
      <w:r w:rsidR="007127D0">
        <w:t>-</w:t>
      </w:r>
      <w:r>
        <w:t>source income of a nonresident is not subject to U.S. tax unless the income is effectively connected to the conduct of a trade or business inside of the United States.</w:t>
      </w:r>
      <w:r w:rsidR="00584AC2">
        <w:rPr>
          <w:rStyle w:val="FootnoteReference"/>
        </w:rPr>
        <w:footnoteReference w:id="38"/>
      </w:r>
      <w:r>
        <w:t xml:space="preserve">  One requirement for a trade of business to be conducted inside the United States is that the activity must be tie</w:t>
      </w:r>
      <w:r w:rsidR="00616DFF">
        <w:t>d</w:t>
      </w:r>
      <w:r>
        <w:t xml:space="preserve"> to </w:t>
      </w:r>
      <w:r w:rsidR="00616DFF">
        <w:t>a</w:t>
      </w:r>
      <w:r>
        <w:t xml:space="preserve"> physical presence in the United States.  For example, in </w:t>
      </w:r>
      <w:r w:rsidRPr="00DE3D8C">
        <w:rPr>
          <w:i/>
        </w:rPr>
        <w:t>Piedras Negras</w:t>
      </w:r>
      <w:r w:rsidR="00DE3D8C" w:rsidRPr="00DE3D8C">
        <w:rPr>
          <w:i/>
        </w:rPr>
        <w:t xml:space="preserve"> Broadcasting Co. v. Commissioner</w:t>
      </w:r>
      <w:r>
        <w:t>,</w:t>
      </w:r>
      <w:r w:rsidR="00DE3D8C">
        <w:rPr>
          <w:rStyle w:val="FootnoteReference"/>
        </w:rPr>
        <w:footnoteReference w:id="39"/>
      </w:r>
      <w:r>
        <w:t xml:space="preserve"> a radio station in Mexico broadcasting English language programming into the United States was not subject to U.S. income tax on its advertising revenue because the radio station had no physical presence in the United States and thus did not have a U.S. trade or business.  Congress’ hesitation to tax foreign business income absent physical presence and the treaty approach, requiring a </w:t>
      </w:r>
      <w:r w:rsidR="00616DFF">
        <w:t xml:space="preserve">permanent establishment </w:t>
      </w:r>
      <w:r>
        <w:t>before a source country has the right to tax income</w:t>
      </w:r>
      <w:r w:rsidR="00E04B64">
        <w:t>,</w:t>
      </w:r>
      <w:r>
        <w:t xml:space="preserve"> reflect a historic</w:t>
      </w:r>
      <w:r w:rsidR="00A641D1">
        <w:t>al</w:t>
      </w:r>
      <w:r>
        <w:t xml:space="preserve"> and consistent commitment to what can be viewed as a physical presence minimum standard to taxing international business income.  This same commitment was even more pronounced in the State tax context until recently.  As many have observed, the movement in the State tax space, shifting away from a physical presence standard, can provide helpful insight into the similar trend in international tax law. </w:t>
      </w:r>
    </w:p>
    <w:p w14:paraId="64CB514E" w14:textId="77777777" w:rsidR="00B42511" w:rsidRPr="00B42511" w:rsidRDefault="00B42511" w:rsidP="00BA3F17">
      <w:pPr>
        <w:pStyle w:val="Heading1"/>
      </w:pPr>
      <w:r w:rsidRPr="00B42511">
        <w:t>Developments and Lessons from State Tax Nexus</w:t>
      </w:r>
    </w:p>
    <w:p w14:paraId="66FB0675" w14:textId="77777777" w:rsidR="00B42511" w:rsidRDefault="00B42511" w:rsidP="001C7CD8">
      <w:pPr>
        <w:jc w:val="both"/>
      </w:pPr>
    </w:p>
    <w:p w14:paraId="4733B0A3" w14:textId="20F45890" w:rsidR="00BA3F17" w:rsidRPr="00FB2105" w:rsidRDefault="00BE65B9" w:rsidP="00B73FB4">
      <w:pPr>
        <w:jc w:val="both"/>
      </w:pPr>
      <w:r>
        <w:t>In the State law context, a nexus constraint is imposed under both the Due Process Clause</w:t>
      </w:r>
      <w:r w:rsidR="00C04452">
        <w:t xml:space="preserve"> of the Fourteenth Amendment</w:t>
      </w:r>
      <w:r>
        <w:t xml:space="preserve"> and the Com</w:t>
      </w:r>
      <w:r w:rsidR="000A427C">
        <w:t xml:space="preserve">merce Clause.  </w:t>
      </w:r>
      <w:r w:rsidR="00D91BEB">
        <w:t xml:space="preserve">The State tax constraints imposed by the Due </w:t>
      </w:r>
      <w:r w:rsidR="00D91BEB">
        <w:lastRenderedPageBreak/>
        <w:t xml:space="preserve">Process Clause and the Commerce Clause are discussed in Part II.A.  </w:t>
      </w:r>
      <w:r w:rsidR="000A427C">
        <w:t>Historically, this</w:t>
      </w:r>
      <w:r>
        <w:t xml:space="preserve"> nexus constraint </w:t>
      </w:r>
      <w:r w:rsidR="00CB209E">
        <w:t>had imposed a phys</w:t>
      </w:r>
      <w:r w:rsidR="000A427C">
        <w:t xml:space="preserve">ical presence requirement </w:t>
      </w:r>
      <w:r w:rsidR="00852DED">
        <w:t xml:space="preserve">and </w:t>
      </w:r>
      <w:r w:rsidR="000A427C">
        <w:t xml:space="preserve">prevented States from imposing sales and use tax </w:t>
      </w:r>
      <w:r w:rsidR="005F6754">
        <w:t>on a</w:t>
      </w:r>
      <w:r w:rsidR="000A427C">
        <w:t xml:space="preserve"> taxpayer</w:t>
      </w:r>
      <w:r w:rsidR="005F6754">
        <w:t xml:space="preserve"> that</w:t>
      </w:r>
      <w:r w:rsidR="000A427C">
        <w:t xml:space="preserve"> had no physical presence in the State.  T</w:t>
      </w:r>
      <w:r w:rsidR="005F6754">
        <w:t xml:space="preserve">he Supreme Court’s interpretation of the nexus </w:t>
      </w:r>
      <w:r w:rsidR="00F94FFE">
        <w:t>requirement</w:t>
      </w:r>
      <w:r w:rsidR="005F6754">
        <w:t xml:space="preserve"> eroded over time </w:t>
      </w:r>
      <w:r w:rsidR="00D91BEB">
        <w:t xml:space="preserve">until, </w:t>
      </w:r>
      <w:r w:rsidR="00F94FFE">
        <w:t xml:space="preserve">in </w:t>
      </w:r>
      <w:r w:rsidR="00E04B64">
        <w:rPr>
          <w:i/>
        </w:rPr>
        <w:t xml:space="preserve">South Dakota v. </w:t>
      </w:r>
      <w:r w:rsidR="00F94FFE" w:rsidRPr="00F94FFE">
        <w:rPr>
          <w:i/>
        </w:rPr>
        <w:t>Wayfair</w:t>
      </w:r>
      <w:r w:rsidR="00E04B64">
        <w:rPr>
          <w:i/>
        </w:rPr>
        <w:t>, Inc.</w:t>
      </w:r>
      <w:r w:rsidR="00F94FFE">
        <w:t>,</w:t>
      </w:r>
      <w:r w:rsidR="008A5815">
        <w:t xml:space="preserve"> </w:t>
      </w:r>
      <w:r w:rsidR="005F6754">
        <w:t>the Court concluded that</w:t>
      </w:r>
      <w:r w:rsidR="00E04B64">
        <w:t>,</w:t>
      </w:r>
      <w:r w:rsidR="00F94FFE">
        <w:t xml:space="preserve"> as the result of the </w:t>
      </w:r>
      <w:r w:rsidR="005F6754">
        <w:t>rise of the digital age</w:t>
      </w:r>
      <w:r w:rsidR="00F94FFE">
        <w:t>, the nexus requirement no longer could require physical presence</w:t>
      </w:r>
      <w:r w:rsidR="005F6754">
        <w:t xml:space="preserve">.  </w:t>
      </w:r>
      <w:r w:rsidR="00F94FFE">
        <w:t xml:space="preserve">The Supreme Court history of the nexus requirement is discussed in Part II.B.  </w:t>
      </w:r>
      <w:r w:rsidR="008A5815">
        <w:t xml:space="preserve">It was never clear whether the physical presence nexus requirement for sales and use tax also </w:t>
      </w:r>
      <w:r w:rsidR="000A427C">
        <w:t xml:space="preserve">applied to State </w:t>
      </w:r>
      <w:r w:rsidR="008A5815">
        <w:t xml:space="preserve">income tax.  </w:t>
      </w:r>
      <w:r w:rsidR="007B74CC">
        <w:t>However, a</w:t>
      </w:r>
      <w:r w:rsidR="009A3701">
        <w:t xml:space="preserve">nother constitutional </w:t>
      </w:r>
      <w:r w:rsidR="007B74CC">
        <w:t>constraint</w:t>
      </w:r>
      <w:r w:rsidR="009A3701">
        <w:t xml:space="preserve"> on State </w:t>
      </w:r>
      <w:r w:rsidR="007B74CC">
        <w:t>taxation</w:t>
      </w:r>
      <w:r w:rsidR="00E04B64">
        <w:t>—</w:t>
      </w:r>
      <w:r w:rsidR="007B74CC">
        <w:t>the</w:t>
      </w:r>
      <w:r w:rsidR="009A3701">
        <w:t xml:space="preserve"> be</w:t>
      </w:r>
      <w:r w:rsidR="007B74CC">
        <w:t xml:space="preserve">nefits </w:t>
      </w:r>
      <w:r w:rsidR="009A3701">
        <w:t>requirement</w:t>
      </w:r>
      <w:r w:rsidR="00E04B64">
        <w:t>—</w:t>
      </w:r>
      <w:r w:rsidR="007B74CC">
        <w:t>is closely related to the nexus requirement</w:t>
      </w:r>
      <w:r w:rsidR="00D91BEB">
        <w:t xml:space="preserve">.  </w:t>
      </w:r>
      <w:r w:rsidR="007618CE">
        <w:t>As we explore below, the benefits requirement</w:t>
      </w:r>
      <w:r w:rsidR="009A3701">
        <w:t xml:space="preserve"> limits a State’s taxing rights to income connected to the taxpayer’</w:t>
      </w:r>
      <w:r w:rsidR="007618CE">
        <w:t>s nexus with the State</w:t>
      </w:r>
      <w:r w:rsidR="00D91BEB">
        <w:t>.  This</w:t>
      </w:r>
      <w:r w:rsidR="007618CE">
        <w:t xml:space="preserve"> means that a State only has the right to tax</w:t>
      </w:r>
      <w:r w:rsidR="00D91BEB">
        <w:t xml:space="preserve"> income sourced to the State.  </w:t>
      </w:r>
      <w:r w:rsidR="00F94FFE">
        <w:t xml:space="preserve">The benefits requirement is discussed in Part II.C.  </w:t>
      </w:r>
      <w:r w:rsidR="00D91BEB">
        <w:t xml:space="preserve">From early on, the Court has permitted states to source income (and thus satisfy the benefits requirement) by applying either a </w:t>
      </w:r>
      <w:r w:rsidR="007618CE">
        <w:t xml:space="preserve">separate accounting approach </w:t>
      </w:r>
      <w:r w:rsidR="00D91BEB">
        <w:t>or</w:t>
      </w:r>
      <w:r w:rsidR="007618CE">
        <w:t xml:space="preserve"> formulary apportionment.  </w:t>
      </w:r>
      <w:r w:rsidR="00FB2105">
        <w:t xml:space="preserve">Initially, an apportionment method referred to as the Massachusetts Formula was ubiquitous among the States that had an income tax, but, over time, the majority of States moved to the single factor sales method.  Formulary apportionment and the shift from the Massachusetts Formula to single factor sales is discussed in Part II.D.  </w:t>
      </w:r>
      <w:r w:rsidR="00861B22">
        <w:t>Another trend among States that gain</w:t>
      </w:r>
      <w:r w:rsidR="00DF4490">
        <w:t>ed</w:t>
      </w:r>
      <w:r w:rsidR="00861B22">
        <w:t xml:space="preserve"> popularity during the Reagan administration was world-wide combined reporting (“WWCR”).  Under WWCR, a State would combine the income of all entities related to the taxpayer (who were engaged in a unitary business) and apply the State’s formula for formulary apportionment (including all of the formula factors of the group) to determine the income of the taxpayer </w:t>
      </w:r>
      <w:r w:rsidR="009C1EA1">
        <w:t xml:space="preserve">subject to tax in the State.  WWCR, </w:t>
      </w:r>
      <w:r w:rsidR="00DF4490">
        <w:t xml:space="preserve">and </w:t>
      </w:r>
      <w:r w:rsidR="009C1EA1">
        <w:t>the Supreme Court’s approval of WWCR</w:t>
      </w:r>
      <w:r w:rsidR="00DF4490">
        <w:t>,</w:t>
      </w:r>
      <w:r w:rsidR="009C1EA1">
        <w:t xml:space="preserve"> are discussed in Part II.E. </w:t>
      </w:r>
    </w:p>
    <w:p w14:paraId="250C39E7" w14:textId="77777777" w:rsidR="00B42511" w:rsidRDefault="00CE5DC4" w:rsidP="00BA3F17">
      <w:pPr>
        <w:pStyle w:val="Heading2"/>
      </w:pPr>
      <w:r>
        <w:t>Due Process and the Commerce Clause</w:t>
      </w:r>
      <w:r w:rsidR="00B42511">
        <w:t xml:space="preserve"> </w:t>
      </w:r>
    </w:p>
    <w:p w14:paraId="611620D7" w14:textId="77777777" w:rsidR="00BA3F17" w:rsidRDefault="00BA3F17" w:rsidP="00B42511"/>
    <w:p w14:paraId="28F6D4B7" w14:textId="4FECCECE" w:rsidR="00B42511" w:rsidRDefault="00B42511" w:rsidP="00BA3F17">
      <w:pPr>
        <w:jc w:val="both"/>
      </w:pPr>
      <w:r>
        <w:t xml:space="preserve">Constitutional challenges to State taxes for lack of nexus have been made under the Due Process </w:t>
      </w:r>
      <w:r w:rsidR="00DF4490">
        <w:t>C</w:t>
      </w:r>
      <w:r>
        <w:t xml:space="preserve">lause of the Fourteenth </w:t>
      </w:r>
      <w:r w:rsidR="00BA3F17">
        <w:t xml:space="preserve">Amendment and under the </w:t>
      </w:r>
      <w:r>
        <w:t xml:space="preserve">Commerce Clause of Article 1. </w:t>
      </w:r>
      <w:r w:rsidR="00BA3F17">
        <w:t xml:space="preserve"> </w:t>
      </w:r>
      <w:r>
        <w:t>The Due Process Clause generally prevents a State from depriving a person of life, liberty</w:t>
      </w:r>
      <w:r w:rsidR="00DF4490">
        <w:t>,</w:t>
      </w:r>
      <w:r>
        <w:t xml:space="preserve"> or property when such deprivation is not justified by a sufficient purpose.  In the context of State taxation, this princip</w:t>
      </w:r>
      <w:r w:rsidR="00DF4490">
        <w:t>le</w:t>
      </w:r>
      <w:r>
        <w:t xml:space="preserve"> applies to require that </w:t>
      </w:r>
      <w:r w:rsidRPr="00C64D96">
        <w:t>t</w:t>
      </w:r>
      <w:r>
        <w:t>he taxing power exerted by the State bear a</w:t>
      </w:r>
      <w:r w:rsidRPr="00C64D96">
        <w:t xml:space="preserve"> fiscal relation to protection</w:t>
      </w:r>
      <w:r>
        <w:t>s</w:t>
      </w:r>
      <w:r w:rsidRPr="00C64D96">
        <w:t>, opportunit</w:t>
      </w:r>
      <w:r>
        <w:t>ies, and benefits given by the S</w:t>
      </w:r>
      <w:r w:rsidRPr="00C64D96">
        <w:t>tate.</w:t>
      </w:r>
      <w:r>
        <w:rPr>
          <w:rStyle w:val="FootnoteReference"/>
        </w:rPr>
        <w:footnoteReference w:id="40"/>
      </w:r>
      <w:r>
        <w:t xml:space="preserve">  This Due Process requirement breaks down into a two</w:t>
      </w:r>
      <w:r w:rsidR="00DF4490">
        <w:t>-</w:t>
      </w:r>
      <w:r>
        <w:t>part</w:t>
      </w:r>
      <w:r w:rsidR="00215BE7">
        <w:t>s</w:t>
      </w:r>
      <w:r>
        <w:t xml:space="preserve">: (i) a minimum contact </w:t>
      </w:r>
      <w:r w:rsidR="00215BE7">
        <w:t>requirement</w:t>
      </w:r>
      <w:r>
        <w:t>, which looks at whether there is sufficient contact between the State and the taxpayer to justify the State</w:t>
      </w:r>
      <w:r w:rsidR="00DF4490">
        <w:t>’</w:t>
      </w:r>
      <w:r>
        <w:t>s imposition of a tax on the taxpayer</w:t>
      </w:r>
      <w:r w:rsidR="00DF4490">
        <w:t>;</w:t>
      </w:r>
      <w:r>
        <w:t xml:space="preserve"> and (ii) a </w:t>
      </w:r>
      <w:r w:rsidR="00215BE7">
        <w:t xml:space="preserve">benefits requirement </w:t>
      </w:r>
      <w:r>
        <w:t>, which looks at whether there is a sufficient relationship between the benefits the taxpayer derives from the State and the tax the State seeks to impose.</w:t>
      </w:r>
      <w:r w:rsidR="00BA3F17">
        <w:rPr>
          <w:rStyle w:val="FootnoteReference"/>
        </w:rPr>
        <w:footnoteReference w:id="41"/>
      </w:r>
      <w:r>
        <w:t xml:space="preserve">  </w:t>
      </w:r>
    </w:p>
    <w:p w14:paraId="204B2695" w14:textId="77777777" w:rsidR="00B42511" w:rsidRDefault="00B42511" w:rsidP="00BA3F17">
      <w:pPr>
        <w:jc w:val="both"/>
      </w:pPr>
    </w:p>
    <w:p w14:paraId="7E13DB25" w14:textId="7059C055" w:rsidR="00480EA5" w:rsidRDefault="00B42511" w:rsidP="00BA3F17">
      <w:pPr>
        <w:jc w:val="both"/>
      </w:pPr>
      <w:r>
        <w:t>The Commerce Clause prohibits States from acting in a manner that discriminates against or unduly burdens interstate (or international) commerce.  A State does</w:t>
      </w:r>
      <w:r w:rsidR="00C83E6E">
        <w:t xml:space="preserve"> not</w:t>
      </w:r>
      <w:r>
        <w:t xml:space="preserve"> unduly burden interstate commerce only if the State tax is </w:t>
      </w:r>
      <w:r w:rsidRPr="003704E0">
        <w:t>designed to make such commerce bear a fair</w:t>
      </w:r>
      <w:r>
        <w:t xml:space="preserve"> share of the cost of the local </w:t>
      </w:r>
      <w:r w:rsidRPr="003704E0">
        <w:t>government whose protection it enjoys</w:t>
      </w:r>
      <w:r>
        <w:t>.</w:t>
      </w:r>
      <w:r>
        <w:rPr>
          <w:rStyle w:val="FootnoteReference"/>
        </w:rPr>
        <w:footnoteReference w:id="42"/>
      </w:r>
      <w:r>
        <w:t xml:space="preserve">  A four</w:t>
      </w:r>
      <w:r w:rsidR="00DF4490">
        <w:t>-</w:t>
      </w:r>
      <w:r>
        <w:t xml:space="preserve">part test applies to determine whether </w:t>
      </w:r>
      <w:r>
        <w:lastRenderedPageBreak/>
        <w:t>a State tax violates the Commerce Clause, requiring that the tax: (i) applies to an activity with substantial nexus to the taxing State; (ii) is fairly apportioned; (iii) d</w:t>
      </w:r>
      <w:r w:rsidRPr="0017457F">
        <w:t>oes not discriminate against interstate commerce</w:t>
      </w:r>
      <w:r w:rsidR="00DF4490">
        <w:t>;</w:t>
      </w:r>
      <w:r w:rsidRPr="0017457F">
        <w:t xml:space="preserve"> and </w:t>
      </w:r>
      <w:r>
        <w:t xml:space="preserve">(iv) </w:t>
      </w:r>
      <w:r w:rsidRPr="0017457F">
        <w:t>is fairly related t</w:t>
      </w:r>
      <w:r>
        <w:t>o services provided by the State.</w:t>
      </w:r>
      <w:r w:rsidR="003C57D3">
        <w:rPr>
          <w:rStyle w:val="FootnoteReference"/>
        </w:rPr>
        <w:footnoteReference w:id="43"/>
      </w:r>
      <w:r>
        <w:t xml:space="preserve">  </w:t>
      </w:r>
    </w:p>
    <w:p w14:paraId="5ACB2369" w14:textId="77777777" w:rsidR="00CE5DC4" w:rsidRDefault="00CE5DC4" w:rsidP="00CE5DC4">
      <w:pPr>
        <w:pStyle w:val="Heading2"/>
      </w:pPr>
      <w:r>
        <w:t>History of Physical Presence in State Tax Jurisprudence</w:t>
      </w:r>
    </w:p>
    <w:p w14:paraId="3E1A4E7C" w14:textId="77777777" w:rsidR="00CE5DC4" w:rsidRDefault="00CE5DC4" w:rsidP="009D1963">
      <w:pPr>
        <w:keepNext/>
        <w:jc w:val="both"/>
      </w:pPr>
    </w:p>
    <w:p w14:paraId="1241AEA3" w14:textId="3902F263" w:rsidR="00B42511" w:rsidRDefault="00B73FB4" w:rsidP="00BA3F17">
      <w:pPr>
        <w:jc w:val="both"/>
      </w:pPr>
      <w:r>
        <w:t>As provided above, both the Due Process Clause and the Commer</w:t>
      </w:r>
      <w:r w:rsidR="00014A6E">
        <w:t xml:space="preserve">ce Clause have been interpreted to impose a nexus requirement in the State tax context.  The Due Process </w:t>
      </w:r>
      <w:r w:rsidR="004B287D">
        <w:t xml:space="preserve">Clause </w:t>
      </w:r>
      <w:r w:rsidR="00014A6E">
        <w:t>nexus requirement is a minimum contacts test</w:t>
      </w:r>
      <w:r w:rsidR="004B287D">
        <w:t>,</w:t>
      </w:r>
      <w:r w:rsidR="00014A6E">
        <w:t xml:space="preserve"> and the Commerce Clause </w:t>
      </w:r>
      <w:r w:rsidR="004B287D">
        <w:t xml:space="preserve">requires an </w:t>
      </w:r>
      <w:r w:rsidR="00014A6E">
        <w:t xml:space="preserve">activity </w:t>
      </w:r>
      <w:r w:rsidR="004B287D">
        <w:t xml:space="preserve">have </w:t>
      </w:r>
      <w:r w:rsidR="00014A6E">
        <w:t>substantial nexus to the taxing State.  Historically, both nexus requirements imposed a physical presence limitation with respect to State sales and use tax as reflected i</w:t>
      </w:r>
      <w:r w:rsidR="00B42511">
        <w:t xml:space="preserve">n </w:t>
      </w:r>
      <w:r w:rsidR="00480EA5" w:rsidRPr="00480EA5">
        <w:rPr>
          <w:i/>
        </w:rPr>
        <w:t>National Bellas Hess, Inc. v. Department of Revenue of Ill</w:t>
      </w:r>
      <w:r w:rsidR="004B287D">
        <w:rPr>
          <w:i/>
        </w:rPr>
        <w:t>inois</w:t>
      </w:r>
      <w:r w:rsidR="00480EA5" w:rsidRPr="00480EA5">
        <w:rPr>
          <w:i/>
        </w:rPr>
        <w:t>.</w:t>
      </w:r>
      <w:r w:rsidR="00480EA5">
        <w:rPr>
          <w:rStyle w:val="FootnoteReference"/>
        </w:rPr>
        <w:footnoteReference w:id="44"/>
      </w:r>
      <w:r w:rsidR="00B42511">
        <w:t xml:space="preserve"> </w:t>
      </w:r>
      <w:r w:rsidR="00014A6E">
        <w:t xml:space="preserve"> </w:t>
      </w:r>
      <w:r w:rsidR="00B42511">
        <w:t>National</w:t>
      </w:r>
      <w:r w:rsidR="004B287D">
        <w:t xml:space="preserve"> Bellas Hess, Inc. (“National”)</w:t>
      </w:r>
      <w:r w:rsidR="00B42511">
        <w:t>, a mail order company</w:t>
      </w:r>
      <w:r w:rsidR="00014A6E">
        <w:t>, challenged an</w:t>
      </w:r>
      <w:r w:rsidR="00B42511">
        <w:t xml:space="preserve"> Illinoi</w:t>
      </w:r>
      <w:r w:rsidR="00014A6E">
        <w:t>s tax th</w:t>
      </w:r>
      <w:r w:rsidR="00AC66F6">
        <w:t>at</w:t>
      </w:r>
      <w:r w:rsidR="00014A6E">
        <w:t xml:space="preserve"> imposed use tax on in-</w:t>
      </w:r>
      <w:r w:rsidR="00B42511">
        <w:t xml:space="preserve">state buyers and that sellers, including out of state sellers, were obligated to collect and remit.  Twice a year, National would mail order catalogues throughout the United States to its active or recent customers, including to customers in Illinois.  National would also occasionally mail out advertising flyers to past and potential customers.  Finally, National would send goods ordered by customers through the mail or by common carrier.  From these facts, the Court concluded that National’s only connections to Illinois were through mail and common carriers.  In this sense, National had no physical presence in Illinois and, as a result, the Court sided with National, holding that the Illinois tax violated the nexus requirement of the Due Process Clause and the nexus requirement of the Commerce Clause.  In other words, under </w:t>
      </w:r>
      <w:r w:rsidR="00B42511" w:rsidRPr="00042F3A">
        <w:rPr>
          <w:i/>
        </w:rPr>
        <w:t>Bellas Hess</w:t>
      </w:r>
      <w:r w:rsidR="00B42511">
        <w:t>, the minimum contact required to pass muster under both the Due Process Clause and Commerce Clause was physical presence.</w:t>
      </w:r>
    </w:p>
    <w:p w14:paraId="7CD5508B" w14:textId="77777777" w:rsidR="00B42511" w:rsidRDefault="00B42511" w:rsidP="00BA3F17">
      <w:pPr>
        <w:jc w:val="both"/>
      </w:pPr>
    </w:p>
    <w:p w14:paraId="1E7FE094" w14:textId="2212EB13" w:rsidR="00B42511" w:rsidRDefault="00B42511" w:rsidP="00BA3F17">
      <w:pPr>
        <w:jc w:val="both"/>
      </w:pPr>
      <w:r>
        <w:t>Twenty</w:t>
      </w:r>
      <w:r w:rsidR="00AC66F6">
        <w:t>-</w:t>
      </w:r>
      <w:r>
        <w:t xml:space="preserve">five years late, the Court, in </w:t>
      </w:r>
      <w:r w:rsidR="00042F3A" w:rsidRPr="00042F3A">
        <w:rPr>
          <w:i/>
        </w:rPr>
        <w:t>Quill Corp. v. North Dakota</w:t>
      </w:r>
      <w:r>
        <w:t>,</w:t>
      </w:r>
      <w:r w:rsidR="00042F3A">
        <w:rPr>
          <w:rStyle w:val="FootnoteReference"/>
        </w:rPr>
        <w:footnoteReference w:id="45"/>
      </w:r>
      <w:r>
        <w:t xml:space="preserve"> changed its mind, concluding that the nexus requirement of the Commerce Clause required physical presence, but that the nexus requirement of the Due Process Clause did not.  The relevant facts in </w:t>
      </w:r>
      <w:r w:rsidRPr="00042F3A">
        <w:rPr>
          <w:i/>
        </w:rPr>
        <w:t xml:space="preserve">Quill </w:t>
      </w:r>
      <w:r>
        <w:t xml:space="preserve">were indistinguishable from the facts in </w:t>
      </w:r>
      <w:r w:rsidRPr="00042F3A">
        <w:rPr>
          <w:i/>
        </w:rPr>
        <w:t>Bellas Hess</w:t>
      </w:r>
      <w:r>
        <w:t xml:space="preserve">.  However, while, in the context of State tax, </w:t>
      </w:r>
      <w:r w:rsidRPr="00042F3A">
        <w:rPr>
          <w:i/>
        </w:rPr>
        <w:t xml:space="preserve">Bellas Hess </w:t>
      </w:r>
      <w:r>
        <w:t xml:space="preserve">and earlier Supreme Court decisions saw the Due Process </w:t>
      </w:r>
      <w:r w:rsidR="00AC66F6">
        <w:t xml:space="preserve">Clause </w:t>
      </w:r>
      <w:r>
        <w:t>and Commerce Clause requirement</w:t>
      </w:r>
      <w:r w:rsidR="00AC66F6">
        <w:t>s</w:t>
      </w:r>
      <w:r>
        <w:t xml:space="preserve"> as “similar,” </w:t>
      </w:r>
      <w:r w:rsidRPr="00042F3A">
        <w:rPr>
          <w:i/>
        </w:rPr>
        <w:t>Quill</w:t>
      </w:r>
      <w:r>
        <w:t xml:space="preserve"> viewed the two clauses as posing “distinct limit</w:t>
      </w:r>
      <w:r w:rsidR="000078AF">
        <w:t>s</w:t>
      </w:r>
      <w:r>
        <w:t xml:space="preserve"> on the taxing powers of the </w:t>
      </w:r>
      <w:r w:rsidR="000078AF">
        <w:t>S</w:t>
      </w:r>
      <w:r w:rsidR="00042F3A">
        <w:t>tate.”</w:t>
      </w:r>
      <w:r w:rsidR="000078AF">
        <w:rPr>
          <w:rStyle w:val="FootnoteReference"/>
        </w:rPr>
        <w:footnoteReference w:id="46"/>
      </w:r>
      <w:r w:rsidR="00042F3A">
        <w:t xml:space="preserve">  The Court</w:t>
      </w:r>
      <w:r>
        <w:t xml:space="preserve"> explained i</w:t>
      </w:r>
      <w:r w:rsidR="00AC66F6">
        <w:t>t</w:t>
      </w:r>
      <w:r>
        <w:t>s departure from its prior decisions</w:t>
      </w:r>
      <w:r w:rsidR="00AC66F6">
        <w:t>,</w:t>
      </w:r>
      <w:r>
        <w:t xml:space="preserve"> citing an evolution in the Court’s jurisprudence in the context of Due Process and judicial jurisdiction</w:t>
      </w:r>
      <w:r w:rsidR="00AC66F6">
        <w:t>.  In this sense, the Court</w:t>
      </w:r>
      <w:r>
        <w:t xml:space="preserve"> mov</w:t>
      </w:r>
      <w:r w:rsidR="00AC66F6">
        <w:t>ed</w:t>
      </w:r>
      <w:r>
        <w:t xml:space="preserve"> away from a “formalistic” physical presence standard to a more “flexible approach” that look</w:t>
      </w:r>
      <w:r w:rsidR="00AC66F6">
        <w:t>ed</w:t>
      </w:r>
      <w:r>
        <w:t xml:space="preserve"> at whether a “corporation purposefully avails itself of the benefits of an economic market in the forum State.”</w:t>
      </w:r>
      <w:r w:rsidR="000078AF">
        <w:rPr>
          <w:rStyle w:val="FootnoteReference"/>
        </w:rPr>
        <w:footnoteReference w:id="47"/>
      </w:r>
      <w:r>
        <w:t xml:space="preserve">  This shift, the Court explained, </w:t>
      </w:r>
      <w:r w:rsidR="00393837">
        <w:t xml:space="preserve">was necessitated </w:t>
      </w:r>
      <w:r>
        <w:t>by the new realities of “modern commercial life</w:t>
      </w:r>
      <w:r w:rsidR="00042F3A">
        <w:t>.</w:t>
      </w:r>
      <w:r>
        <w:t>”</w:t>
      </w:r>
      <w:r w:rsidR="000078AF">
        <w:rPr>
          <w:rStyle w:val="FootnoteReference"/>
        </w:rPr>
        <w:footnoteReference w:id="48"/>
      </w:r>
      <w:r>
        <w:t xml:space="preserve">  Turning back to the Commerce Clause, however, the Court aligned with </w:t>
      </w:r>
      <w:r w:rsidRPr="00042F3A">
        <w:rPr>
          <w:i/>
        </w:rPr>
        <w:t>Bellas Hess</w:t>
      </w:r>
      <w:r w:rsidR="00042F3A">
        <w:t xml:space="preserve"> and concluded</w:t>
      </w:r>
      <w:r>
        <w:t xml:space="preserve"> that the nexus requirements for </w:t>
      </w:r>
      <w:r w:rsidR="00393837">
        <w:t xml:space="preserve">the </w:t>
      </w:r>
      <w:r>
        <w:t xml:space="preserve">Due Process </w:t>
      </w:r>
      <w:r w:rsidR="00393837">
        <w:t xml:space="preserve">Clause </w:t>
      </w:r>
      <w:r>
        <w:t xml:space="preserve">and Commerce </w:t>
      </w:r>
      <w:r w:rsidR="00393837">
        <w:t>C</w:t>
      </w:r>
      <w:r>
        <w:t>lause are not identical</w:t>
      </w:r>
      <w:r w:rsidR="00393837">
        <w:t>.</w:t>
      </w:r>
      <w:r>
        <w:t xml:space="preserve"> </w:t>
      </w:r>
      <w:r w:rsidR="00393837">
        <w:t xml:space="preserve"> T</w:t>
      </w:r>
      <w:r>
        <w:t xml:space="preserve">he nexus requirement under </w:t>
      </w:r>
      <w:r w:rsidR="00393837">
        <w:t xml:space="preserve">only </w:t>
      </w:r>
      <w:r>
        <w:t xml:space="preserve">the Commerce Clause requires physical presence.  </w:t>
      </w:r>
    </w:p>
    <w:p w14:paraId="2AD75FD0" w14:textId="77777777" w:rsidR="00B42511" w:rsidRDefault="00B42511" w:rsidP="00BA3F17">
      <w:pPr>
        <w:jc w:val="both"/>
      </w:pPr>
    </w:p>
    <w:p w14:paraId="2383846F" w14:textId="50048A51" w:rsidR="00B42511" w:rsidRDefault="00B42511" w:rsidP="00BA3F17">
      <w:pPr>
        <w:jc w:val="both"/>
      </w:pPr>
      <w:r>
        <w:t xml:space="preserve">This was an important shift because it opened the door for Federal legislation to permit States to impose tax on inbound commerce even absent physical presence.  If physical presence was required to satisfy the Due Process </w:t>
      </w:r>
      <w:r w:rsidR="00393837">
        <w:t xml:space="preserve">Clause </w:t>
      </w:r>
      <w:r>
        <w:t xml:space="preserve">nexus requirement, Congress would have no power to permit states to violate Due Process.  However, now that physical presence was required only to satisfy the nexus requirement of the Commerce Clause, Congress, which, unlike the States, is empowered to regulate interstate commerce, could permit States to impose tax on interstate commerce even when the source of the commerce </w:t>
      </w:r>
      <w:r w:rsidR="00FC7526">
        <w:t>wa</w:t>
      </w:r>
      <w:r>
        <w:t>s not related to a physical presence in the taxing State.  Congress never ended up exercising its new ability to empower states to tax interstate commerce in this manner</w:t>
      </w:r>
      <w:r w:rsidR="00FC7526">
        <w:t>.</w:t>
      </w:r>
      <w:r>
        <w:t xml:space="preserve"> </w:t>
      </w:r>
      <w:r w:rsidR="00FC7526">
        <w:t xml:space="preserve"> A</w:t>
      </w:r>
      <w:r>
        <w:t>s is often the case, a rule lacking popular support</w:t>
      </w:r>
      <w:r w:rsidR="00FC7526">
        <w:t>,</w:t>
      </w:r>
      <w:r>
        <w:t xml:space="preserve"> but that </w:t>
      </w:r>
      <w:r w:rsidR="00941C06">
        <w:t>Congress</w:t>
      </w:r>
      <w:r>
        <w:t xml:space="preserve"> sought as necessary</w:t>
      </w:r>
      <w:r w:rsidR="00ED7579">
        <w:t>,</w:t>
      </w:r>
      <w:r>
        <w:t xml:space="preserve"> needed to be imposed by the Supreme Court</w:t>
      </w:r>
      <w:r w:rsidR="00FC7526">
        <w:t>,</w:t>
      </w:r>
      <w:r>
        <w:t xml:space="preserve"> again changing its mind.  But, it would take almost four decades for the Court to find its truth</w:t>
      </w:r>
      <w:r w:rsidR="00FC7526">
        <w:t>, at last,</w:t>
      </w:r>
      <w:r>
        <w:t xml:space="preserve"> in </w:t>
      </w:r>
      <w:r w:rsidRPr="00042F3A">
        <w:rPr>
          <w:i/>
        </w:rPr>
        <w:t>Wayfair</w:t>
      </w:r>
      <w:r w:rsidR="00042F3A">
        <w:t>.</w:t>
      </w:r>
      <w:r w:rsidR="00042F3A">
        <w:rPr>
          <w:rStyle w:val="FootnoteReference"/>
        </w:rPr>
        <w:footnoteReference w:id="49"/>
      </w:r>
    </w:p>
    <w:p w14:paraId="077C4FF3" w14:textId="77777777" w:rsidR="00B42511" w:rsidRDefault="00B42511" w:rsidP="00BA3F17">
      <w:pPr>
        <w:jc w:val="both"/>
      </w:pPr>
    </w:p>
    <w:p w14:paraId="4713C48A" w14:textId="4ECBE71D" w:rsidR="00B42511" w:rsidRDefault="00B42511" w:rsidP="009B746D">
      <w:pPr>
        <w:jc w:val="both"/>
      </w:pPr>
      <w:r>
        <w:t>Unlike</w:t>
      </w:r>
      <w:r w:rsidR="00042F3A">
        <w:t xml:space="preserve"> </w:t>
      </w:r>
      <w:r w:rsidRPr="00042F3A">
        <w:rPr>
          <w:i/>
        </w:rPr>
        <w:t>Bellas Hess</w:t>
      </w:r>
      <w:r>
        <w:t xml:space="preserve"> and </w:t>
      </w:r>
      <w:r w:rsidRPr="00042F3A">
        <w:rPr>
          <w:i/>
        </w:rPr>
        <w:t>Quill</w:t>
      </w:r>
      <w:r>
        <w:t xml:space="preserve">, </w:t>
      </w:r>
      <w:r w:rsidRPr="00042F3A">
        <w:rPr>
          <w:i/>
        </w:rPr>
        <w:t>Wayfair</w:t>
      </w:r>
      <w:r>
        <w:t xml:space="preserve"> did not concern a mail order company, but instead concerned three internet market place companies, Wayfair, Overstock.com and Newegg.  Nevertheless, the salient issue was the same: can a State impose sales tax on an </w:t>
      </w:r>
      <w:r w:rsidR="00ED7579">
        <w:t>out-of-</w:t>
      </w:r>
      <w:r>
        <w:t>State seller that has no physical presence in the State?</w:t>
      </w:r>
      <w:r w:rsidR="00FC7526">
        <w:t xml:space="preserve"> </w:t>
      </w:r>
      <w:r>
        <w:t xml:space="preserve"> The Court overturned </w:t>
      </w:r>
      <w:r w:rsidRPr="009D1963">
        <w:rPr>
          <w:i/>
        </w:rPr>
        <w:t>Quill</w:t>
      </w:r>
      <w:r>
        <w:t xml:space="preserve"> based on how the rise of the internet and Cyber Age have “changed the dynamics of the national economy.”</w:t>
      </w:r>
      <w:r w:rsidR="002D72B1">
        <w:rPr>
          <w:rStyle w:val="FootnoteReference"/>
        </w:rPr>
        <w:footnoteReference w:id="50"/>
      </w:r>
      <w:r>
        <w:t xml:space="preserve">  The Court’s explanation for its change of heart can be summarized simply: </w:t>
      </w:r>
      <w:r w:rsidR="00FC7526">
        <w:t>B</w:t>
      </w:r>
      <w:r>
        <w:t>efore the rise of the internet, interstate commerce without a physical presence in a State was a small fraction of national commerce</w:t>
      </w:r>
      <w:r w:rsidR="00FC7526">
        <w:t>.  A</w:t>
      </w:r>
      <w:r>
        <w:t>fter the rise of the internet, such commerce became a large fraction of national commerce.  In sum, the new digital economy meant that physical presence could no longer be the threshold for State ta</w:t>
      </w:r>
      <w:r w:rsidR="009B746D">
        <w:t xml:space="preserve">xation of interstate business. </w:t>
      </w:r>
    </w:p>
    <w:p w14:paraId="5C67C2DD" w14:textId="7F6E17AD" w:rsidR="00B42511" w:rsidRDefault="00B42511" w:rsidP="00BA3F17">
      <w:pPr>
        <w:pStyle w:val="Heading2"/>
      </w:pPr>
      <w:r>
        <w:t>Constitutional Standards Applicable to Income Tax</w:t>
      </w:r>
      <w:r w:rsidR="00FC7526">
        <w:t>—</w:t>
      </w:r>
      <w:r w:rsidR="006D28BF">
        <w:t xml:space="preserve">Nexus and the Benefits </w:t>
      </w:r>
      <w:r w:rsidR="00215BE7">
        <w:t>Requirement</w:t>
      </w:r>
    </w:p>
    <w:p w14:paraId="13AB853C" w14:textId="77777777" w:rsidR="00B42511" w:rsidRDefault="00B42511" w:rsidP="00B42511"/>
    <w:p w14:paraId="36230652" w14:textId="55D57FC7" w:rsidR="00B42511" w:rsidRDefault="00B42511" w:rsidP="00BA3F17">
      <w:pPr>
        <w:jc w:val="both"/>
      </w:pPr>
      <w:r>
        <w:t xml:space="preserve">It is important here to reflect that this arc from </w:t>
      </w:r>
      <w:r w:rsidRPr="00042F3A">
        <w:rPr>
          <w:i/>
        </w:rPr>
        <w:t>Bellas Hess</w:t>
      </w:r>
      <w:r>
        <w:t xml:space="preserve"> and its predecessors to </w:t>
      </w:r>
      <w:r w:rsidRPr="00042F3A">
        <w:rPr>
          <w:i/>
        </w:rPr>
        <w:t>Wayfair</w:t>
      </w:r>
      <w:r>
        <w:t xml:space="preserve"> specifically concerned sales and use tax and, throughout, it was unclear to what degree similar nexus principles applied to State income tax.  Case law reviewing whether or not similar nexus principles apply generally arose during the period between</w:t>
      </w:r>
      <w:r w:rsidRPr="00042F3A">
        <w:rPr>
          <w:i/>
        </w:rPr>
        <w:t xml:space="preserve"> Quill</w:t>
      </w:r>
      <w:r>
        <w:t xml:space="preserve"> and </w:t>
      </w:r>
      <w:r w:rsidRPr="00042F3A">
        <w:rPr>
          <w:i/>
        </w:rPr>
        <w:t>Wayfair</w:t>
      </w:r>
      <w:r>
        <w:t>, with their focus thus being on whether it is permitted under the Commerce Clause for a State to impose its income tax on a taxpayer that has no physical presence in the State.</w:t>
      </w:r>
      <w:r w:rsidR="0048104E">
        <w:rPr>
          <w:rStyle w:val="FootnoteReference"/>
        </w:rPr>
        <w:footnoteReference w:id="51"/>
      </w:r>
      <w:r>
        <w:t xml:space="preserve">  In line with the general trajectory of the Supreme Court’s jurisprudence, there was at first a trend among State courts to apply a physical presence limitation that eventually gave way to an opposing trend to limit </w:t>
      </w:r>
      <w:r w:rsidRPr="0048104E">
        <w:rPr>
          <w:i/>
        </w:rPr>
        <w:t>Quill</w:t>
      </w:r>
      <w:r>
        <w:t>’s physical presence requirement for nexus to sales and use tax.</w:t>
      </w:r>
      <w:r w:rsidR="0048104E">
        <w:rPr>
          <w:rStyle w:val="FootnoteReference"/>
        </w:rPr>
        <w:footnoteReference w:id="52"/>
      </w:r>
      <w:r>
        <w:t xml:space="preserve">  Of course, the issue became moot when in </w:t>
      </w:r>
      <w:r w:rsidRPr="0048104E">
        <w:rPr>
          <w:i/>
        </w:rPr>
        <w:t xml:space="preserve">Wayfair </w:t>
      </w:r>
      <w:r>
        <w:t xml:space="preserve">the Supreme Court decided that no </w:t>
      </w:r>
      <w:r w:rsidR="00103AE0">
        <w:t>c</w:t>
      </w:r>
      <w:r>
        <w:t>onstitutional nexus requirement imposed a physical presence requirement even in the context of sales and use tax.</w:t>
      </w:r>
    </w:p>
    <w:p w14:paraId="78B6421D" w14:textId="77777777" w:rsidR="00B42511" w:rsidRDefault="00B42511" w:rsidP="00BA3F17">
      <w:pPr>
        <w:jc w:val="both"/>
      </w:pPr>
    </w:p>
    <w:p w14:paraId="031359EF" w14:textId="64525244" w:rsidR="00346AF4" w:rsidRDefault="00B42511" w:rsidP="00BA3F17">
      <w:pPr>
        <w:jc w:val="both"/>
      </w:pPr>
      <w:r>
        <w:lastRenderedPageBreak/>
        <w:t xml:space="preserve">The more interesting </w:t>
      </w:r>
      <w:r w:rsidR="00103AE0">
        <w:t>c</w:t>
      </w:r>
      <w:r>
        <w:t>onstitutional requirements that apply equally between sales and use tax</w:t>
      </w:r>
      <w:r w:rsidR="000A2457">
        <w:t>,</w:t>
      </w:r>
      <w:r>
        <w:t xml:space="preserve"> on one hand</w:t>
      </w:r>
      <w:r w:rsidR="000A2457">
        <w:t>,</w:t>
      </w:r>
      <w:r>
        <w:t xml:space="preserve"> and income tax</w:t>
      </w:r>
      <w:r w:rsidR="000A2457">
        <w:t>,</w:t>
      </w:r>
      <w:r>
        <w:t xml:space="preserve"> on the other</w:t>
      </w:r>
      <w:r w:rsidR="000A2457">
        <w:t>,</w:t>
      </w:r>
      <w:r>
        <w:t xml:space="preserve"> are the </w:t>
      </w:r>
      <w:r w:rsidR="00215BE7">
        <w:t xml:space="preserve">benefits requirement </w:t>
      </w:r>
      <w:r>
        <w:t>s under the Due Process</w:t>
      </w:r>
      <w:r w:rsidR="0087729A">
        <w:t xml:space="preserve"> Clause</w:t>
      </w:r>
      <w:r>
        <w:t xml:space="preserve"> and Commerce Clause.  Specifically, aside from the minimum connection requirement that is generally characterized as the </w:t>
      </w:r>
      <w:r w:rsidR="0048104E">
        <w:t>“</w:t>
      </w:r>
      <w:r>
        <w:t>nexus</w:t>
      </w:r>
      <w:r w:rsidR="0048104E">
        <w:t>”</w:t>
      </w:r>
      <w:r>
        <w:t xml:space="preserve"> requirement</w:t>
      </w:r>
      <w:r w:rsidR="0048104E">
        <w:t>,</w:t>
      </w:r>
      <w:r>
        <w:t xml:space="preserve"> both the Due Process Clause and the Commerce Clause require that there be a connection between the income the State seeks to tax and the activities in the State.  In </w:t>
      </w:r>
      <w:r w:rsidRPr="0093049A">
        <w:rPr>
          <w:i/>
        </w:rPr>
        <w:t>Commonwealth Edison Company</w:t>
      </w:r>
      <w:r w:rsidR="0093049A" w:rsidRPr="0093049A">
        <w:rPr>
          <w:i/>
        </w:rPr>
        <w:t xml:space="preserve"> v. Montana</w:t>
      </w:r>
      <w:r>
        <w:t>,</w:t>
      </w:r>
      <w:r w:rsidR="0093049A">
        <w:rPr>
          <w:rStyle w:val="FootnoteReference"/>
        </w:rPr>
        <w:footnoteReference w:id="53"/>
      </w:r>
      <w:r>
        <w:t xml:space="preserve"> the Supreme Court </w:t>
      </w:r>
      <w:r w:rsidR="0093049A">
        <w:t xml:space="preserve">explained that the </w:t>
      </w:r>
      <w:r w:rsidR="00215BE7">
        <w:t xml:space="preserve">benefits requirement </w:t>
      </w:r>
      <w:r w:rsidR="0093049A">
        <w:t>s</w:t>
      </w:r>
      <w:r>
        <w:t xml:space="preserve"> look at whether the tax is in proportion to the taxpayer’s contact with the State.  Montana imposed</w:t>
      </w:r>
      <w:r w:rsidRPr="005602A6">
        <w:t xml:space="preserve"> a severance tax on each ton </w:t>
      </w:r>
      <w:r>
        <w:t>of coal mined in Montana</w:t>
      </w:r>
      <w:r w:rsidRPr="005602A6">
        <w:t>, includin</w:t>
      </w:r>
      <w:r>
        <w:t>g coal mined on F</w:t>
      </w:r>
      <w:r w:rsidRPr="005602A6">
        <w:t>ederal land.</w:t>
      </w:r>
      <w:r w:rsidR="0093049A">
        <w:t xml:space="preserve"> </w:t>
      </w:r>
      <w:r w:rsidRPr="005602A6">
        <w:t xml:space="preserve"> The tax</w:t>
      </w:r>
      <w:r>
        <w:t xml:space="preserve"> rate varied, </w:t>
      </w:r>
      <w:r w:rsidRPr="005602A6">
        <w:t xml:space="preserve">depending on the value, energy content, and method of extraction of the coal, </w:t>
      </w:r>
      <w:r>
        <w:t>but was capped at 30% of the contract sales price of the coal.  The tax</w:t>
      </w:r>
      <w:r w:rsidR="0087729A">
        <w:t>,</w:t>
      </w:r>
      <w:r>
        <w:t xml:space="preserve"> of course, did not relate to any special benefits that Montana supplied to the coal mining industry.  The taxpayers specific challenges were under the Commerce and Supremacy </w:t>
      </w:r>
      <w:r w:rsidR="00581CB0">
        <w:t>C</w:t>
      </w:r>
      <w:r>
        <w:t>lauses, but the Supreme Court provided some discussion of the Due Process Clause as well.  Specifically, the Supreme Court aligned</w:t>
      </w:r>
      <w:r w:rsidR="00F94FFE">
        <w:t xml:space="preserve">, in concept, the </w:t>
      </w:r>
      <w:r w:rsidR="00215BE7">
        <w:t xml:space="preserve">benefits requirement </w:t>
      </w:r>
      <w:r>
        <w:t>s of the Due Process Clause and Commerce Clause, concluding that neither</w:t>
      </w:r>
      <w:r w:rsidR="0093049A">
        <w:t xml:space="preserve"> of the</w:t>
      </w:r>
      <w:r>
        <w:t xml:space="preserve"> </w:t>
      </w:r>
      <w:r w:rsidR="00215BE7">
        <w:t xml:space="preserve">benefits requirement </w:t>
      </w:r>
      <w:r>
        <w:t xml:space="preserve">s </w:t>
      </w:r>
      <w:r w:rsidR="0093049A">
        <w:t>call for a relationship between a State tax and</w:t>
      </w:r>
      <w:r>
        <w:t xml:space="preserve"> a taxpayer</w:t>
      </w:r>
      <w:r w:rsidR="0093049A">
        <w:t>’</w:t>
      </w:r>
      <w:r>
        <w:t>s benefit</w:t>
      </w:r>
      <w:r w:rsidR="0093049A">
        <w:t>s from a State.  R</w:t>
      </w:r>
      <w:r>
        <w:t xml:space="preserve">ather </w:t>
      </w:r>
      <w:r w:rsidR="0093049A">
        <w:t xml:space="preserve">the </w:t>
      </w:r>
      <w:r w:rsidR="00215BE7">
        <w:t xml:space="preserve">benefits requirement </w:t>
      </w:r>
      <w:r w:rsidR="0093049A">
        <w:t>s</w:t>
      </w:r>
      <w:r>
        <w:t xml:space="preserve"> relate to a taxpayer’s fair share of supporting the common good.  In that respect, under the </w:t>
      </w:r>
      <w:r w:rsidR="00215BE7">
        <w:t xml:space="preserve">benefits requirement </w:t>
      </w:r>
      <w:r>
        <w:t xml:space="preserve"> “the </w:t>
      </w:r>
      <w:r w:rsidRPr="000166A6">
        <w:t>question is whether the State has exerted its power in proper proportion to appellant</w:t>
      </w:r>
      <w:r w:rsidR="00187D36">
        <w:t>’</w:t>
      </w:r>
      <w:r w:rsidRPr="000166A6">
        <w:t>s activities within the State and to appellant</w:t>
      </w:r>
      <w:r w:rsidR="00581CB0">
        <w:t>’</w:t>
      </w:r>
      <w:r w:rsidRPr="000166A6">
        <w:t>s consequent enjoyment of the opportunities and protections which the State has afforded</w:t>
      </w:r>
      <w:r>
        <w:t>.”</w:t>
      </w:r>
      <w:r w:rsidR="002D72B1">
        <w:rPr>
          <w:rStyle w:val="FootnoteReference"/>
        </w:rPr>
        <w:footnoteReference w:id="54"/>
      </w:r>
      <w:r>
        <w:t xml:space="preserve"> </w:t>
      </w:r>
      <w:r w:rsidR="0093049A">
        <w:t xml:space="preserve"> </w:t>
      </w:r>
      <w:r>
        <w:t xml:space="preserve">For this purpose, the </w:t>
      </w:r>
      <w:r w:rsidR="00215BE7">
        <w:t xml:space="preserve">benefits requirement </w:t>
      </w:r>
      <w:r>
        <w:t xml:space="preserve"> is “closely connected to” the nexus requirement, with the nexus requirement establishing a “threshold test” and the </w:t>
      </w:r>
      <w:r w:rsidR="00215BE7">
        <w:t xml:space="preserve">benefits requirement </w:t>
      </w:r>
      <w:r>
        <w:t xml:space="preserve"> looking “[b]eyond that threshold requirement” requiring that “</w:t>
      </w:r>
      <w:r w:rsidRPr="00E32727">
        <w:t xml:space="preserve">the measure of the tax must be reasonably related to the extent of the contact, since it is the activities or presence of the taxpayer in the State that </w:t>
      </w:r>
      <w:r>
        <w:t>may properly be made to bear a ‘just share of state tax burden.’”</w:t>
      </w:r>
      <w:r w:rsidR="002D72B1">
        <w:rPr>
          <w:rStyle w:val="FootnoteReference"/>
        </w:rPr>
        <w:footnoteReference w:id="55"/>
      </w:r>
      <w:r>
        <w:t xml:space="preserve">  </w:t>
      </w:r>
    </w:p>
    <w:p w14:paraId="186DE1FF" w14:textId="64AEFA62" w:rsidR="00346AF4" w:rsidRDefault="00346AF4" w:rsidP="00346AF4">
      <w:pPr>
        <w:pStyle w:val="Heading2"/>
      </w:pPr>
      <w:r>
        <w:t xml:space="preserve">The </w:t>
      </w:r>
      <w:r w:rsidR="00215BE7">
        <w:t xml:space="preserve">Benefits requirement Requirement </w:t>
      </w:r>
      <w:r>
        <w:t>an</w:t>
      </w:r>
      <w:r w:rsidR="00B37A65">
        <w:t>d</w:t>
      </w:r>
      <w:r>
        <w:t xml:space="preserve"> Formulary Apportionment</w:t>
      </w:r>
    </w:p>
    <w:p w14:paraId="4A83A1A5" w14:textId="77777777" w:rsidR="00B42511" w:rsidRDefault="00B42511" w:rsidP="00BA3F17">
      <w:pPr>
        <w:jc w:val="both"/>
      </w:pPr>
    </w:p>
    <w:p w14:paraId="36DD15A7" w14:textId="73DBBD86" w:rsidR="00B42511" w:rsidRDefault="00B42511" w:rsidP="00BA3F17">
      <w:pPr>
        <w:jc w:val="both"/>
      </w:pPr>
      <w:r>
        <w:t xml:space="preserve">In the context of income tax, the </w:t>
      </w:r>
      <w:r w:rsidR="00215BE7">
        <w:t xml:space="preserve">benefits requirement </w:t>
      </w:r>
      <w:r>
        <w:t xml:space="preserve"> is stated simply: “</w:t>
      </w:r>
      <w:r w:rsidR="00581CB0">
        <w:t>U</w:t>
      </w:r>
      <w:r>
        <w:t>nd</w:t>
      </w:r>
      <w:r w:rsidRPr="008C1099">
        <w:t>er both the Due Process and the Commerce Clauses of the Constitution, a state may not, when</w:t>
      </w:r>
      <w:r>
        <w:t xml:space="preserve"> imposing an income-based tax, ‘</w:t>
      </w:r>
      <w:r w:rsidRPr="008C1099">
        <w:t>tax value earned outside its borders.</w:t>
      </w:r>
      <w:r>
        <w:t>’”</w:t>
      </w:r>
      <w:r>
        <w:rPr>
          <w:rStyle w:val="FootnoteReference"/>
        </w:rPr>
        <w:footnoteReference w:id="56"/>
      </w:r>
      <w:r>
        <w:t xml:space="preserve">  When a taxpayer conducts interstate and</w:t>
      </w:r>
      <w:r w:rsidR="00581CB0">
        <w:t>/</w:t>
      </w:r>
      <w:r>
        <w:t>or international business, the difficult question is, how does the taxpayer determine the value attributable to a particular State</w:t>
      </w:r>
      <w:r w:rsidR="005E79B1">
        <w:t xml:space="preserve">?  </w:t>
      </w:r>
      <w:r>
        <w:t>One option would be for taxpayers to prepare separate accounting of its operations in each State.  However, early on, States instead looked to the unitary business principle and formula</w:t>
      </w:r>
      <w:r w:rsidR="00581CB0">
        <w:t>ry</w:t>
      </w:r>
      <w:r>
        <w:t xml:space="preserve"> apportionment.</w:t>
      </w:r>
      <w:r w:rsidR="00347F2B">
        <w:rPr>
          <w:rStyle w:val="FootnoteReference"/>
        </w:rPr>
        <w:footnoteReference w:id="57"/>
      </w:r>
      <w:r>
        <w:t xml:space="preserve">  When the activities of taxpayer are parts of </w:t>
      </w:r>
      <w:r w:rsidR="00157815">
        <w:t xml:space="preserve">integrated, </w:t>
      </w:r>
      <w:r w:rsidRPr="002D4B49">
        <w:t>interdependent, synergistic whole</w:t>
      </w:r>
      <w:r>
        <w:t>, each part can be viewed as a component of a unitary business.  Then, when such unitary business operates in interstate (or international) commerce, a formula</w:t>
      </w:r>
      <w:r w:rsidR="00581CB0">
        <w:t>ry</w:t>
      </w:r>
      <w:r>
        <w:t xml:space="preserve"> apportionment approach takes the combined income of the unitary business and apportions it to </w:t>
      </w:r>
      <w:r>
        <w:lastRenderedPageBreak/>
        <w:t>States based on a formula.</w:t>
      </w:r>
      <w:r w:rsidR="00347F2B">
        <w:rPr>
          <w:rStyle w:val="FootnoteReference"/>
        </w:rPr>
        <w:footnoteReference w:id="58"/>
      </w:r>
      <w:r>
        <w:t xml:space="preserve"> </w:t>
      </w:r>
      <w:r w:rsidR="006D28BF">
        <w:t xml:space="preserve"> </w:t>
      </w:r>
      <w:r w:rsidR="00581CB0">
        <w:t>T</w:t>
      </w:r>
      <w:r w:rsidR="00346AF4">
        <w:t xml:space="preserve">he Supreme Court in </w:t>
      </w:r>
      <w:r w:rsidR="00346AF4" w:rsidRPr="00346AF4">
        <w:rPr>
          <w:i/>
        </w:rPr>
        <w:t>Underwood Typewriter Co. v. Chamberlain</w:t>
      </w:r>
      <w:r w:rsidR="00581CB0">
        <w:rPr>
          <w:i/>
        </w:rPr>
        <w:t xml:space="preserve"> </w:t>
      </w:r>
      <w:r w:rsidR="00581CB0">
        <w:t xml:space="preserve">confirmed the use of formulary apportionment instead of separate accounting to source a taxpayer’s income to a state and its compliance with the </w:t>
      </w:r>
      <w:r w:rsidR="00215BE7">
        <w:t xml:space="preserve">benefits requirement </w:t>
      </w:r>
      <w:r w:rsidR="00346AF4">
        <w:t>.</w:t>
      </w:r>
      <w:r w:rsidR="00346AF4">
        <w:rPr>
          <w:rStyle w:val="FootnoteReference"/>
        </w:rPr>
        <w:footnoteReference w:id="59"/>
      </w:r>
    </w:p>
    <w:p w14:paraId="5A9471EC" w14:textId="77777777" w:rsidR="00346AF4" w:rsidRDefault="00346AF4" w:rsidP="00BA3F17">
      <w:pPr>
        <w:jc w:val="both"/>
      </w:pPr>
    </w:p>
    <w:p w14:paraId="0BE344CD" w14:textId="062A6328" w:rsidR="00B42511" w:rsidRDefault="00B42511" w:rsidP="00BA3F17">
      <w:pPr>
        <w:jc w:val="both"/>
      </w:pPr>
      <w:r>
        <w:t>An early popular method employed by States, known as the Massachusetts Formula</w:t>
      </w:r>
      <w:r w:rsidR="00581CB0">
        <w:t>,</w:t>
      </w:r>
      <w:r>
        <w:t xml:space="preserve"> looked at and equally weighted three factors</w:t>
      </w:r>
      <w:r w:rsidR="00292FC9">
        <w:t>:</w:t>
      </w:r>
      <w:r>
        <w:t xml:space="preserve"> the taxpayer</w:t>
      </w:r>
      <w:r w:rsidR="00292FC9">
        <w:t>’</w:t>
      </w:r>
      <w:r>
        <w:t>s property, payroll</w:t>
      </w:r>
      <w:r w:rsidR="00292FC9">
        <w:t>,</w:t>
      </w:r>
      <w:r>
        <w:t xml:space="preserve"> and sales.</w:t>
      </w:r>
      <w:r w:rsidR="00EA11BE">
        <w:rPr>
          <w:rStyle w:val="FootnoteReference"/>
        </w:rPr>
        <w:footnoteReference w:id="60"/>
      </w:r>
      <w:r>
        <w:t xml:space="preserve">  Thus, for example, if all of a taxpayer’s property and payroll were in State X and all of its sales were in State Y, under the Massachusetts Formula, 67% of the income of the taxpayer would be attributable to State X and 33% would be attributable to State Y.  In 1978, </w:t>
      </w:r>
      <w:r w:rsidR="00292FC9">
        <w:t>43</w:t>
      </w:r>
      <w:r>
        <w:t xml:space="preserve"> of the </w:t>
      </w:r>
      <w:r w:rsidR="00292FC9">
        <w:t>44</w:t>
      </w:r>
      <w:r>
        <w:t xml:space="preserve"> states that had a corporate income tax used the Massachusetts Formula to determine the amount of a taxpayer’s income that was allocable to each state.</w:t>
      </w:r>
      <w:r w:rsidR="00EA11BE">
        <w:rPr>
          <w:rStyle w:val="FootnoteReference"/>
        </w:rPr>
        <w:footnoteReference w:id="61"/>
      </w:r>
      <w:r>
        <w:t xml:space="preserve">  Iowa was the odd State out</w:t>
      </w:r>
      <w:r w:rsidR="00941C06">
        <w:t>, opting to apply</w:t>
      </w:r>
      <w:r>
        <w:t xml:space="preserve"> a single factor sales </w:t>
      </w:r>
      <w:r w:rsidR="00941C06">
        <w:t>formula</w:t>
      </w:r>
      <w:r>
        <w:t>.</w:t>
      </w:r>
      <w:r w:rsidR="00EA11BE">
        <w:rPr>
          <w:rStyle w:val="FootnoteReference"/>
        </w:rPr>
        <w:footnoteReference w:id="62"/>
      </w:r>
      <w:r>
        <w:t xml:space="preserve">  </w:t>
      </w:r>
      <w:r w:rsidR="00941C06">
        <w:t xml:space="preserve">Instead of using multiple factors, a single factor sales formula apportions the income of a unitary business solely </w:t>
      </w:r>
      <w:r w:rsidR="00D609AE">
        <w:t xml:space="preserve">based on sales. </w:t>
      </w:r>
      <w:r w:rsidR="00941C06">
        <w:t xml:space="preserve"> </w:t>
      </w:r>
      <w:r>
        <w:t xml:space="preserve">Thus, under the example above, under Iowa’s single factor formula, all of the income of the taxpayer would be apportioned to State Y, in spite of all of the taxpayer’s property and payroll being in State X.  Iowa’s single factor test was challenged under the Due Process and Commerce Clauses in </w:t>
      </w:r>
      <w:r w:rsidRPr="00EA11BE">
        <w:rPr>
          <w:i/>
        </w:rPr>
        <w:t>Moorman M</w:t>
      </w:r>
      <w:r w:rsidR="00292FC9">
        <w:rPr>
          <w:i/>
        </w:rPr>
        <w:t>anufacturing</w:t>
      </w:r>
      <w:r w:rsidR="00EA11BE" w:rsidRPr="00EA11BE">
        <w:rPr>
          <w:i/>
        </w:rPr>
        <w:t xml:space="preserve"> Co</w:t>
      </w:r>
      <w:r w:rsidR="00292FC9">
        <w:rPr>
          <w:i/>
        </w:rPr>
        <w:t>. v. Bair</w:t>
      </w:r>
      <w:r>
        <w:t>.</w:t>
      </w:r>
      <w:r w:rsidR="00292FC9">
        <w:rPr>
          <w:rStyle w:val="FootnoteReference"/>
        </w:rPr>
        <w:footnoteReference w:id="63"/>
      </w:r>
      <w:r>
        <w:t xml:space="preserve">  A key contention of the taxpayer was that Iowa’s formula violated </w:t>
      </w:r>
      <w:r w:rsidR="00292FC9">
        <w:t xml:space="preserve">the </w:t>
      </w:r>
      <w:r>
        <w:t xml:space="preserve">Due Process </w:t>
      </w:r>
      <w:r w:rsidR="00292FC9">
        <w:t xml:space="preserve">Clause </w:t>
      </w:r>
      <w:r>
        <w:t xml:space="preserve">because its single factor sales </w:t>
      </w:r>
      <w:r w:rsidR="00941C06">
        <w:t xml:space="preserve">formula </w:t>
      </w:r>
      <w:r>
        <w:t xml:space="preserve">looks to revenue and not profit.  Thus, a single factor sales </w:t>
      </w:r>
      <w:r w:rsidR="00941C06">
        <w:t xml:space="preserve">formula </w:t>
      </w:r>
      <w:r>
        <w:t>approximates revenue apportioned between the States, but not taxable income.  This, the taxpayer contended</w:t>
      </w:r>
      <w:r w:rsidR="006D28BF">
        <w:t>,</w:t>
      </w:r>
      <w:r>
        <w:t xml:space="preserve"> violated the benefits requirement of </w:t>
      </w:r>
      <w:r w:rsidR="00CA5976">
        <w:t xml:space="preserve">the </w:t>
      </w:r>
      <w:r>
        <w:t>Due Process</w:t>
      </w:r>
      <w:r w:rsidR="00CA5976">
        <w:t xml:space="preserve"> Clause</w:t>
      </w:r>
      <w:r>
        <w:t>, which requires that “the i</w:t>
      </w:r>
      <w:r w:rsidRPr="00194609">
        <w:t>ncome attributed to the State for tax purposes</w:t>
      </w:r>
      <w:r>
        <w:t xml:space="preserve"> must be rationally related to ‘</w:t>
      </w:r>
      <w:r w:rsidRPr="00194609">
        <w:t>values c</w:t>
      </w:r>
      <w:r>
        <w:t>onnected with the taxing State.’”</w:t>
      </w:r>
      <w:r w:rsidR="002D72B1">
        <w:rPr>
          <w:rStyle w:val="FootnoteReference"/>
        </w:rPr>
        <w:footnoteReference w:id="64"/>
      </w:r>
      <w:r>
        <w:t xml:space="preserve">  The Supreme Court rejected the taxpayer’s argument, explaining that any formula i</w:t>
      </w:r>
      <w:r w:rsidR="006D28BF">
        <w:t>s a rough approximation, so a formula’s</w:t>
      </w:r>
      <w:r>
        <w:t xml:space="preserve"> rough approximation based on revenue rather than income is permitted. </w:t>
      </w:r>
    </w:p>
    <w:p w14:paraId="28D32CB0" w14:textId="77777777" w:rsidR="00B42511" w:rsidRDefault="00B42511" w:rsidP="00BA3F17">
      <w:pPr>
        <w:jc w:val="both"/>
      </w:pPr>
    </w:p>
    <w:p w14:paraId="486628F7" w14:textId="2B4EC4E2" w:rsidR="00B42511" w:rsidRDefault="00EA11BE" w:rsidP="00BA3F17">
      <w:pPr>
        <w:jc w:val="both"/>
      </w:pPr>
      <w:r>
        <w:t>Post-</w:t>
      </w:r>
      <w:r w:rsidRPr="00EA11BE">
        <w:rPr>
          <w:i/>
        </w:rPr>
        <w:t>Moorman</w:t>
      </w:r>
      <w:r w:rsidR="00B42511">
        <w:t xml:space="preserve">, States flocked to the single factor sales </w:t>
      </w:r>
      <w:r w:rsidR="00941C06">
        <w:t>formula</w:t>
      </w:r>
      <w:r w:rsidR="00B42511">
        <w:t xml:space="preserve">, with the majority of states employing a single factor sales </w:t>
      </w:r>
      <w:r w:rsidR="00941C06">
        <w:t xml:space="preserve">formula </w:t>
      </w:r>
      <w:r w:rsidR="00B42511">
        <w:t xml:space="preserve">and many others employing </w:t>
      </w:r>
      <w:r w:rsidR="00C8138C">
        <w:t xml:space="preserve">a </w:t>
      </w:r>
      <w:r w:rsidR="00B42511">
        <w:t>formula that double</w:t>
      </w:r>
      <w:r w:rsidR="00C8138C">
        <w:t>d</w:t>
      </w:r>
      <w:r w:rsidR="00B42511">
        <w:t xml:space="preserve"> or triple</w:t>
      </w:r>
      <w:r w:rsidR="00C8138C">
        <w:t>d</w:t>
      </w:r>
      <w:r w:rsidR="00B42511">
        <w:t xml:space="preserve"> the weight of sales.</w:t>
      </w:r>
      <w:r w:rsidR="00546153">
        <w:rPr>
          <w:rStyle w:val="FootnoteReference"/>
        </w:rPr>
        <w:footnoteReference w:id="65"/>
      </w:r>
      <w:r w:rsidR="00B42511">
        <w:t xml:space="preserve">  The allure of a single factors sales </w:t>
      </w:r>
      <w:r w:rsidR="00941C06">
        <w:t xml:space="preserve">formula </w:t>
      </w:r>
      <w:r w:rsidR="00B42511">
        <w:t>is readily apparent.  Comparing a State implementing the Massachusetts Formula, State X, to a State implement</w:t>
      </w:r>
      <w:r w:rsidR="001243C0">
        <w:t>ing</w:t>
      </w:r>
      <w:r w:rsidR="00B42511">
        <w:t xml:space="preserve"> a single factor sales </w:t>
      </w:r>
      <w:r w:rsidR="00941C06">
        <w:t>formula</w:t>
      </w:r>
      <w:r w:rsidR="00B42511">
        <w:t xml:space="preserve">, State Y, a taxpayer </w:t>
      </w:r>
      <w:r w:rsidR="00C8138C">
        <w:t xml:space="preserve">always </w:t>
      </w:r>
      <w:r w:rsidR="00B42511">
        <w:t xml:space="preserve">will be incentivized to extract operations from State X and move them into State Y for two reasons, illustrated as follows.  Assume that 50% of T’s sales are in State X and 50% are in </w:t>
      </w:r>
      <w:r w:rsidR="00C8138C">
        <w:t>S</w:t>
      </w:r>
      <w:r w:rsidR="00B42511">
        <w:t>tate Y</w:t>
      </w:r>
      <w:r w:rsidR="00C8138C">
        <w:t xml:space="preserve">. </w:t>
      </w:r>
      <w:r w:rsidR="00B42511">
        <w:t xml:space="preserve"> T has $100 of income.  If T locates its operations (property and payroll) in State X, State X will claim that $82.50 of T’s income is taxable in State X</w:t>
      </w:r>
      <w:r w:rsidR="00C15229">
        <w:t>,</w:t>
      </w:r>
      <w:r w:rsidR="00B42511">
        <w:t xml:space="preserve"> and State Y will claim that $50 of T’s income is taxable in State Y.</w:t>
      </w:r>
      <w:r w:rsidR="00D609AE">
        <w:rPr>
          <w:rStyle w:val="FootnoteReference"/>
        </w:rPr>
        <w:footnoteReference w:id="66"/>
      </w:r>
      <w:r w:rsidR="00B42511">
        <w:t xml:space="preserve">  Compare that to the </w:t>
      </w:r>
      <w:r w:rsidR="00B42511">
        <w:lastRenderedPageBreak/>
        <w:t>alternative, where T locates all of its operations in State Y.  In this scenario, State X will claim that only $16.5 of T’s income is taxable in State X</w:t>
      </w:r>
      <w:r w:rsidR="00C15229">
        <w:t>,</w:t>
      </w:r>
      <w:r w:rsidR="00B42511">
        <w:t xml:space="preserve"> and State Y will not increase its claim that $50 of T’s income is taxable in State Y.  State Y’s regime is attractive to T because moving operations to State Y does not increase the amount of income that State Y views as allocable to itself and</w:t>
      </w:r>
      <w:r w:rsidR="00C15229">
        <w:t>,</w:t>
      </w:r>
      <w:r w:rsidR="00B42511">
        <w:t xml:space="preserve"> for as long as T remains in State X, </w:t>
      </w:r>
      <w:r w:rsidR="005E79B1">
        <w:t xml:space="preserve">T’s </w:t>
      </w:r>
      <w:r w:rsidR="00C15229">
        <w:t xml:space="preserve">sales in </w:t>
      </w:r>
      <w:r w:rsidR="00B42511">
        <w:t>State Y will be subject to double taxation.</w:t>
      </w:r>
      <w:r w:rsidR="00FB2105">
        <w:t xml:space="preserve">  </w:t>
      </w:r>
    </w:p>
    <w:p w14:paraId="123E5B15" w14:textId="1AA4D4CF" w:rsidR="00FB2105" w:rsidRDefault="00FB2105" w:rsidP="00FB2105">
      <w:pPr>
        <w:pStyle w:val="Heading2"/>
      </w:pPr>
      <w:r>
        <w:t>World</w:t>
      </w:r>
      <w:r w:rsidR="00C15229">
        <w:t>-</w:t>
      </w:r>
      <w:r>
        <w:t>Wide Combined Reporting</w:t>
      </w:r>
    </w:p>
    <w:p w14:paraId="7D38F5D0" w14:textId="77777777" w:rsidR="00FB2105" w:rsidRDefault="00FB2105" w:rsidP="00BA3F17">
      <w:pPr>
        <w:jc w:val="both"/>
      </w:pPr>
    </w:p>
    <w:p w14:paraId="0D3B2DD1" w14:textId="07E3D936" w:rsidR="00B42511" w:rsidRDefault="00B42511" w:rsidP="00BA3F17">
      <w:pPr>
        <w:jc w:val="both"/>
      </w:pPr>
      <w:r>
        <w:t>Because formula</w:t>
      </w:r>
      <w:r w:rsidR="00C15229">
        <w:t>ry</w:t>
      </w:r>
      <w:r>
        <w:t xml:space="preserve"> apportionment relies on the unitary business principle, an issue can arise when a unitary business is conducted by separate entities.  This issue came before the Supreme Court in </w:t>
      </w:r>
      <w:r w:rsidR="008B4153">
        <w:rPr>
          <w:i/>
        </w:rPr>
        <w:t>Container Corp</w:t>
      </w:r>
      <w:r w:rsidR="00C15229">
        <w:rPr>
          <w:i/>
        </w:rPr>
        <w:t>. v. Franchise Tax Board</w:t>
      </w:r>
      <w:r>
        <w:t>.</w:t>
      </w:r>
      <w:r w:rsidR="008B4153">
        <w:rPr>
          <w:rStyle w:val="FootnoteReference"/>
        </w:rPr>
        <w:footnoteReference w:id="67"/>
      </w:r>
      <w:r>
        <w:t xml:space="preserve">  The taxpayer was a Delaware corporation that operated in multiple U.S. jurisdictions including California.  The taxpayer also had foreign corporate subsidiaries that operated outside of the United States.  Under California’s </w:t>
      </w:r>
      <w:r w:rsidR="003A7D1A">
        <w:t>WWCR</w:t>
      </w:r>
      <w:r>
        <w:t>, the taxpayer was required to include all of the income of its unitary business</w:t>
      </w:r>
      <w:r w:rsidR="00C15229">
        <w:t>,</w:t>
      </w:r>
      <w:r>
        <w:t xml:space="preserve"> which included the income of the foreign subsidiaries</w:t>
      </w:r>
      <w:r w:rsidR="00C15229">
        <w:t>,</w:t>
      </w:r>
      <w:r>
        <w:t xml:space="preserve"> as income subject to apportionment.  For th</w:t>
      </w:r>
      <w:r w:rsidR="00C15229">
        <w:t>e</w:t>
      </w:r>
      <w:r>
        <w:t xml:space="preserve"> tax years in question, California applies the Massachusetts Formula and, as a result</w:t>
      </w:r>
      <w:r w:rsidR="00C15229">
        <w:t>,</w:t>
      </w:r>
      <w:r>
        <w:t xml:space="preserve"> the property, payroll</w:t>
      </w:r>
      <w:r w:rsidR="00C15229">
        <w:t>,</w:t>
      </w:r>
      <w:r>
        <w:t xml:space="preserve"> and sales of the foreign subsidiaries </w:t>
      </w:r>
      <w:r w:rsidR="00C15229">
        <w:t xml:space="preserve">also </w:t>
      </w:r>
      <w:r>
        <w:t>were taken into account.  Thus, “[i]</w:t>
      </w:r>
      <w:r w:rsidRPr="001C1DC6">
        <w:t>ncluding the overseas subsidiaries in appellant</w:t>
      </w:r>
      <w:r w:rsidR="00C15229">
        <w:t>’</w:t>
      </w:r>
      <w:r w:rsidRPr="001C1DC6">
        <w:t xml:space="preserve">s unitary business had two primary effects: it increased the income subject to apportionment by an amount equal to the total income of those subsidiaries </w:t>
      </w:r>
      <w:r>
        <w:t>. . .</w:t>
      </w:r>
      <w:r w:rsidRPr="001C1DC6">
        <w:t xml:space="preserve"> an</w:t>
      </w:r>
      <w:r>
        <w:t>d</w:t>
      </w:r>
      <w:r w:rsidRPr="001C1DC6">
        <w:t xml:space="preserve"> it decreased the percentage of that income which was apportionable to Califo</w:t>
      </w:r>
      <w:r>
        <w:t>rnia,” with the</w:t>
      </w:r>
      <w:r w:rsidRPr="001C1DC6">
        <w:t xml:space="preserve"> </w:t>
      </w:r>
      <w:r>
        <w:t xml:space="preserve">“net effect” being </w:t>
      </w:r>
      <w:r w:rsidR="00C15229">
        <w:t xml:space="preserve">to </w:t>
      </w:r>
      <w:r>
        <w:t>“</w:t>
      </w:r>
      <w:r w:rsidRPr="001C1DC6">
        <w:t>increase appellant</w:t>
      </w:r>
      <w:r w:rsidR="00C15229">
        <w:t>’</w:t>
      </w:r>
      <w:r w:rsidRPr="001C1DC6">
        <w:t>s tax liability</w:t>
      </w:r>
      <w:r>
        <w:t>.”</w:t>
      </w:r>
      <w:r w:rsidR="00FB05F4">
        <w:rPr>
          <w:rStyle w:val="FootnoteReference"/>
        </w:rPr>
        <w:footnoteReference w:id="68"/>
      </w:r>
      <w:r>
        <w:t xml:space="preserve">  Turning back to nexus, this is an interesting outcome, as the foreign subsidiaries had no apparent nexus to California and yet the income of those subsidiaries was subject to tax in California.  Noting that “</w:t>
      </w:r>
      <w:r w:rsidR="008B4153">
        <w:t xml:space="preserve">respect[ing] </w:t>
      </w:r>
      <w:r w:rsidRPr="009F38B8">
        <w:t>formal corporate line</w:t>
      </w:r>
      <w:r>
        <w:t>s . . . is not constitutionally required,” the Court sided with California, holding that the income of the foreign subsidiaries could be attributed to their corporate owner when the subsidiaries and their owner operated a unitary business.</w:t>
      </w:r>
      <w:r w:rsidR="00C2531B">
        <w:rPr>
          <w:rStyle w:val="FootnoteReference"/>
        </w:rPr>
        <w:footnoteReference w:id="69"/>
      </w:r>
      <w:r>
        <w:t xml:space="preserve">  Although nexus considerations </w:t>
      </w:r>
      <w:r w:rsidR="005F4068">
        <w:t>were important in the case, t</w:t>
      </w:r>
      <w:r>
        <w:t xml:space="preserve">he more fundamental outcome of </w:t>
      </w:r>
      <w:r w:rsidRPr="008B4153">
        <w:rPr>
          <w:i/>
        </w:rPr>
        <w:t>Container Corp.</w:t>
      </w:r>
      <w:r>
        <w:t xml:space="preserve"> is its conclusion with res</w:t>
      </w:r>
      <w:r w:rsidR="00A47A3B">
        <w:t xml:space="preserve">pect to the </w:t>
      </w:r>
      <w:r w:rsidR="00215BE7">
        <w:t xml:space="preserve">benefits requirement </w:t>
      </w:r>
      <w:r w:rsidR="00A47A3B">
        <w:t xml:space="preserve">s, </w:t>
      </w:r>
      <w:r>
        <w:t xml:space="preserve">that </w:t>
      </w:r>
      <w:r w:rsidR="00A47A3B">
        <w:t>a State is permitted to look through corporate and international divisions to combine the</w:t>
      </w:r>
      <w:r>
        <w:t xml:space="preserve"> </w:t>
      </w:r>
      <w:r w:rsidR="00A47A3B">
        <w:t xml:space="preserve">income and formula factors of a world-wide group of corporations to apportion income between taxing jurisdictions. </w:t>
      </w:r>
    </w:p>
    <w:p w14:paraId="32596B24" w14:textId="77777777" w:rsidR="00B42511" w:rsidRDefault="00B42511" w:rsidP="00BA3F17">
      <w:pPr>
        <w:jc w:val="both"/>
      </w:pPr>
    </w:p>
    <w:p w14:paraId="2B70111B" w14:textId="05ADBA49" w:rsidR="00B42511" w:rsidRDefault="00B42511" w:rsidP="00BA3F17">
      <w:pPr>
        <w:jc w:val="both"/>
      </w:pPr>
      <w:r>
        <w:t xml:space="preserve">The Court reached the same outcome in </w:t>
      </w:r>
      <w:r w:rsidRPr="00BE65B9">
        <w:rPr>
          <w:i/>
        </w:rPr>
        <w:t>Barclays Bank PLC</w:t>
      </w:r>
      <w:r w:rsidR="008B4153" w:rsidRPr="00BE65B9">
        <w:rPr>
          <w:i/>
        </w:rPr>
        <w:t xml:space="preserve"> v. Franchise Tax Board</w:t>
      </w:r>
      <w:r>
        <w:t>,</w:t>
      </w:r>
      <w:r w:rsidR="008B4153">
        <w:rPr>
          <w:rStyle w:val="FootnoteReference"/>
        </w:rPr>
        <w:footnoteReference w:id="70"/>
      </w:r>
      <w:r>
        <w:t xml:space="preserve"> which involved a foreign</w:t>
      </w:r>
      <w:r w:rsidR="00D41D15">
        <w:t>-</w:t>
      </w:r>
      <w:r>
        <w:t xml:space="preserve">parented </w:t>
      </w:r>
      <w:r w:rsidR="009E6DCE">
        <w:t>affiliated</w:t>
      </w:r>
      <w:r>
        <w:t xml:space="preserve"> group of corporations.  The case involved two corporations that did business in California, BBI, a UK corporation, and Barcal, a California banking corporation.  BBI and Barcal were members of the Barclays Group, a UK based multinational banking enterprise of more than 220 corporation doing business in 60 nations.  As in </w:t>
      </w:r>
      <w:r w:rsidRPr="00E558E8">
        <w:rPr>
          <w:i/>
        </w:rPr>
        <w:t>Container Corp.</w:t>
      </w:r>
      <w:r>
        <w:t>, the Court upheld California’s</w:t>
      </w:r>
      <w:r w:rsidR="003A7D1A">
        <w:t xml:space="preserve"> WWCR and its</w:t>
      </w:r>
      <w:r>
        <w:t xml:space="preserve"> right to take into account all of the income of the unitary business, even the income of the foreign owners of BBI</w:t>
      </w:r>
      <w:r w:rsidR="00684ADE">
        <w:t>,</w:t>
      </w:r>
      <w:r>
        <w:t xml:space="preserve"> and apply such owners’ property, payroll</w:t>
      </w:r>
      <w:r w:rsidR="00235F30">
        <w:t>,</w:t>
      </w:r>
      <w:r>
        <w:t xml:space="preserve"> and sales in the apportionment fractions for the unitary business.  </w:t>
      </w:r>
      <w:r w:rsidR="00E558E8">
        <w:t>A</w:t>
      </w:r>
      <w:r>
        <w:t xml:space="preserve">n amicus </w:t>
      </w:r>
      <w:r w:rsidRPr="00CB4718">
        <w:t xml:space="preserve">curiae </w:t>
      </w:r>
      <w:r>
        <w:t xml:space="preserve">filed by </w:t>
      </w:r>
      <w:r w:rsidRPr="00CB4718">
        <w:t>the Go</w:t>
      </w:r>
      <w:r>
        <w:t xml:space="preserve">vernment of the United Kingdom </w:t>
      </w:r>
      <w:r w:rsidR="00E558E8">
        <w:t xml:space="preserve">specifically </w:t>
      </w:r>
      <w:r>
        <w:t xml:space="preserve">raised the issue that California </w:t>
      </w:r>
      <w:r>
        <w:lastRenderedPageBreak/>
        <w:t xml:space="preserve">is proposing to tax the income of entities that </w:t>
      </w:r>
      <w:r w:rsidR="00E558E8">
        <w:t xml:space="preserve">do not have nexus </w:t>
      </w:r>
      <w:r>
        <w:t xml:space="preserve">with California.  The Court </w:t>
      </w:r>
      <w:r w:rsidR="00E558E8">
        <w:t>responded:</w:t>
      </w:r>
    </w:p>
    <w:p w14:paraId="054D0829" w14:textId="77777777" w:rsidR="00B42511" w:rsidRDefault="00B42511" w:rsidP="00BA3F17">
      <w:pPr>
        <w:jc w:val="both"/>
      </w:pPr>
    </w:p>
    <w:p w14:paraId="773ECE14" w14:textId="79F937AE" w:rsidR="00B42511" w:rsidRDefault="00B42511" w:rsidP="009D1963">
      <w:pPr>
        <w:ind w:left="1440" w:right="1440"/>
        <w:jc w:val="both"/>
      </w:pPr>
      <w:r w:rsidRPr="00CB4718">
        <w:t>As the United Kingdom recognizes, the theory</w:t>
      </w:r>
      <w:r>
        <w:t xml:space="preserve"> underlying unitary taxation is </w:t>
      </w:r>
      <w:r w:rsidRPr="00CB4718">
        <w:t xml:space="preserve">that </w:t>
      </w:r>
      <w:r w:rsidR="00235F30">
        <w:t>“</w:t>
      </w:r>
      <w:r w:rsidRPr="00CB4718">
        <w:t xml:space="preserve">certain intangible </w:t>
      </w:r>
      <w:r w:rsidR="00235F30">
        <w:t>‘</w:t>
      </w:r>
      <w:r w:rsidRPr="00CB4718">
        <w:t>flows of value</w:t>
      </w:r>
      <w:r w:rsidR="00235F30">
        <w:t>’</w:t>
      </w:r>
      <w:r w:rsidRPr="00CB4718">
        <w:t xml:space="preserve"> within the unitary group se</w:t>
      </w:r>
      <w:r>
        <w:t xml:space="preserve">rve to link the various members </w:t>
      </w:r>
      <w:r w:rsidRPr="00CB4718">
        <w:t>together as if they were essentially a single entity</w:t>
      </w:r>
      <w:r>
        <w:t>.</w:t>
      </w:r>
      <w:r w:rsidR="00235F30">
        <w:t>”</w:t>
      </w:r>
      <w:r>
        <w:t xml:space="preserve"> </w:t>
      </w:r>
      <w:r w:rsidR="00235F30">
        <w:t xml:space="preserve"> </w:t>
      </w:r>
      <w:r w:rsidRPr="00CB4718">
        <w:t>Formul</w:t>
      </w:r>
      <w:r>
        <w:t xml:space="preserve">ary apportionment of the income </w:t>
      </w:r>
      <w:r w:rsidRPr="00CB4718">
        <w:t>of a multijurisdictional (but unitary) business enterprise, if fair</w:t>
      </w:r>
      <w:r>
        <w:t xml:space="preserve">ly done, taxes only the </w:t>
      </w:r>
      <w:r w:rsidR="00235F30">
        <w:t>“</w:t>
      </w:r>
      <w:r>
        <w:t xml:space="preserve">income </w:t>
      </w:r>
      <w:r w:rsidRPr="00CB4718">
        <w:t>generated within a State.</w:t>
      </w:r>
      <w:r w:rsidR="00235F30">
        <w:t>”</w:t>
      </w:r>
      <w:r>
        <w:t xml:space="preserve"> </w:t>
      </w:r>
      <w:r w:rsidR="00235F30">
        <w:t xml:space="preserve"> </w:t>
      </w:r>
      <w:r w:rsidRPr="009D1963">
        <w:rPr>
          <w:i/>
        </w:rPr>
        <w:t>Quill</w:t>
      </w:r>
      <w:r>
        <w:t xml:space="preserve"> held that the Commerce </w:t>
      </w:r>
      <w:r w:rsidRPr="00CB4718">
        <w:t>Clause requires a taxpayer</w:t>
      </w:r>
      <w:r w:rsidR="00235F30">
        <w:t>’</w:t>
      </w:r>
      <w:r w:rsidRPr="00CB4718">
        <w:t xml:space="preserve">s </w:t>
      </w:r>
      <w:r w:rsidR="00235F30">
        <w:t>“</w:t>
      </w:r>
      <w:r w:rsidRPr="00CB4718">
        <w:t>physical presence</w:t>
      </w:r>
      <w:r w:rsidR="00235F30">
        <w:t>”</w:t>
      </w:r>
      <w:r w:rsidRPr="00CB4718">
        <w:t xml:space="preserve"> in the taxing jurisdicti</w:t>
      </w:r>
      <w:r>
        <w:t xml:space="preserve">on before that jurisdiction can </w:t>
      </w:r>
      <w:r w:rsidRPr="00CB4718">
        <w:t xml:space="preserve">constitutionally impose a use tax. </w:t>
      </w:r>
      <w:r w:rsidR="00235F30">
        <w:t xml:space="preserve"> </w:t>
      </w:r>
      <w:r w:rsidRPr="00CB4718">
        <w:t>The California presence of the tax</w:t>
      </w:r>
      <w:r>
        <w:t xml:space="preserve">payers before us is undisputed, </w:t>
      </w:r>
      <w:r w:rsidRPr="00CB4718">
        <w:t xml:space="preserve">and we find nothing in </w:t>
      </w:r>
      <w:r w:rsidRPr="009D1963">
        <w:rPr>
          <w:i/>
        </w:rPr>
        <w:t>Quill</w:t>
      </w:r>
      <w:r w:rsidRPr="00CB4718">
        <w:t xml:space="preserve"> to suggest that California may not reference</w:t>
      </w:r>
      <w:r>
        <w:t xml:space="preserve"> the income of corporations </w:t>
      </w:r>
      <w:r w:rsidRPr="00CB4718">
        <w:t>worldwide with whom those taxpayers are closely intertwined in orde</w:t>
      </w:r>
      <w:r>
        <w:t>r to approximate the taxpayers</w:t>
      </w:r>
      <w:r w:rsidR="00235F30">
        <w:t>’</w:t>
      </w:r>
      <w:r>
        <w:t xml:space="preserve"> </w:t>
      </w:r>
      <w:r w:rsidRPr="00CB4718">
        <w:t>California income.</w:t>
      </w:r>
      <w:r w:rsidR="00235F30">
        <w:rPr>
          <w:rStyle w:val="FootnoteReference"/>
        </w:rPr>
        <w:footnoteReference w:id="71"/>
      </w:r>
      <w:r>
        <w:t xml:space="preserve"> </w:t>
      </w:r>
    </w:p>
    <w:p w14:paraId="3F74D684" w14:textId="77777777" w:rsidR="00B42511" w:rsidRDefault="00B42511" w:rsidP="00BA3F17">
      <w:pPr>
        <w:jc w:val="both"/>
      </w:pPr>
    </w:p>
    <w:p w14:paraId="00566C89" w14:textId="18F4F280" w:rsidR="00B42511" w:rsidRDefault="00B42511" w:rsidP="00BA3F17">
      <w:pPr>
        <w:jc w:val="both"/>
      </w:pPr>
      <w:r>
        <w:t xml:space="preserve">As in its opinion in </w:t>
      </w:r>
      <w:r w:rsidRPr="00E558E8">
        <w:rPr>
          <w:i/>
        </w:rPr>
        <w:t>Container Corp.</w:t>
      </w:r>
      <w:r>
        <w:t>, the Court appear</w:t>
      </w:r>
      <w:r w:rsidR="00235F30">
        <w:t>ed</w:t>
      </w:r>
      <w:r>
        <w:t xml:space="preserve"> to conclude that there is no </w:t>
      </w:r>
      <w:r w:rsidR="00103AE0">
        <w:t>c</w:t>
      </w:r>
      <w:r>
        <w:t>onstitutional obligation that a State tax respect formal corporate lines, permitting California to tax the income of BBI’s foreign owners as though it were income of BBI and its subsidiary</w:t>
      </w:r>
      <w:r w:rsidR="00684ADE">
        <w:t>,</w:t>
      </w:r>
      <w:r>
        <w:t xml:space="preserve"> Barcal.  Thus, it seems, fr</w:t>
      </w:r>
      <w:r w:rsidR="00235F30">
        <w:t>o</w:t>
      </w:r>
      <w:r>
        <w:t xml:space="preserve">m a nexus perspective, when corporate affiliates conduct a unitary business, if any affiliate has nexus with a State, the Constitution does not prohibit the State from allocating all business income of the unitary business attributable to the State to the affiliate with nexus and taxing the affiliate accordingly.  Of course, the more central issue in </w:t>
      </w:r>
      <w:r w:rsidRPr="009D1963">
        <w:rPr>
          <w:i/>
        </w:rPr>
        <w:t>Barclays</w:t>
      </w:r>
      <w:r>
        <w:t xml:space="preserve"> was whether California’s </w:t>
      </w:r>
      <w:r w:rsidR="000078AF">
        <w:t>WWCR</w:t>
      </w:r>
      <w:r>
        <w:t xml:space="preserve"> regime violated </w:t>
      </w:r>
      <w:r w:rsidR="005E7ED3">
        <w:t xml:space="preserve">the </w:t>
      </w:r>
      <w:r>
        <w:t xml:space="preserve">Due Process </w:t>
      </w:r>
      <w:r w:rsidR="005E7ED3">
        <w:t xml:space="preserve">Clause </w:t>
      </w:r>
      <w:r>
        <w:t>and the Commerce Clause by “tax</w:t>
      </w:r>
      <w:r w:rsidR="007F07E7">
        <w:t>[</w:t>
      </w:r>
      <w:r>
        <w:t>ing</w:t>
      </w:r>
      <w:r w:rsidR="007F07E7">
        <w:t>]</w:t>
      </w:r>
      <w:r>
        <w:t xml:space="preserve"> value earned outside </w:t>
      </w:r>
      <w:r w:rsidR="007F07E7">
        <w:t>[</w:t>
      </w:r>
      <w:r>
        <w:t>the taxing State’s</w:t>
      </w:r>
      <w:r w:rsidR="007F07E7">
        <w:t>]</w:t>
      </w:r>
      <w:r>
        <w:t xml:space="preserve"> borders.”</w:t>
      </w:r>
      <w:r w:rsidR="007F07E7">
        <w:rPr>
          <w:rStyle w:val="FootnoteReference"/>
        </w:rPr>
        <w:footnoteReference w:id="72"/>
      </w:r>
      <w:r>
        <w:t xml:space="preserve">  On this issue, the Court affirmed that California’s use of a reasonable approximation of the unitary business income satisfied the benefits requ</w:t>
      </w:r>
      <w:r w:rsidR="009E6DCE">
        <w:t xml:space="preserve">irement and found that California’s </w:t>
      </w:r>
      <w:r w:rsidR="000078AF">
        <w:t>WWCR</w:t>
      </w:r>
      <w:r>
        <w:t xml:space="preserve"> regime passed constitutional muster.</w:t>
      </w:r>
    </w:p>
    <w:p w14:paraId="0E8E6A70" w14:textId="77777777" w:rsidR="00B42511" w:rsidRDefault="00B42511" w:rsidP="00BA3F17">
      <w:pPr>
        <w:jc w:val="both"/>
      </w:pPr>
    </w:p>
    <w:p w14:paraId="0895F3AE" w14:textId="323968DF" w:rsidR="002F285D" w:rsidRDefault="00595DEC" w:rsidP="00593571">
      <w:pPr>
        <w:jc w:val="both"/>
      </w:pPr>
      <w:r>
        <w:t>California and other States’</w:t>
      </w:r>
      <w:r w:rsidR="009E6DCE">
        <w:t xml:space="preserve"> </w:t>
      </w:r>
      <w:r>
        <w:t>implementation of</w:t>
      </w:r>
      <w:r w:rsidR="009E6DCE">
        <w:t xml:space="preserve"> mandatory </w:t>
      </w:r>
      <w:r w:rsidR="000078AF">
        <w:t>WWCR</w:t>
      </w:r>
      <w:r>
        <w:t xml:space="preserve"> sparked </w:t>
      </w:r>
      <w:r w:rsidR="000A0D0E">
        <w:t>outrage</w:t>
      </w:r>
      <w:r>
        <w:t xml:space="preserve"> from the U</w:t>
      </w:r>
      <w:r w:rsidR="005E7ED3">
        <w:t>nited States</w:t>
      </w:r>
      <w:r>
        <w:t xml:space="preserve">’ trading </w:t>
      </w:r>
      <w:r w:rsidR="000A0D0E">
        <w:t>partners</w:t>
      </w:r>
      <w:r w:rsidR="00E911D2">
        <w:t xml:space="preserve"> and foreign businesses.</w:t>
      </w:r>
      <w:bookmarkStart w:id="5" w:name="_Ref148965515"/>
      <w:r w:rsidR="00236C9A">
        <w:rPr>
          <w:rStyle w:val="FootnoteReference"/>
        </w:rPr>
        <w:footnoteReference w:id="73"/>
      </w:r>
      <w:bookmarkEnd w:id="5"/>
      <w:r w:rsidR="00E911D2">
        <w:t xml:space="preserve">  Critics of the regime complain that it </w:t>
      </w:r>
      <w:r w:rsidR="000A0D0E">
        <w:t xml:space="preserve">amounted to States taxing the income of </w:t>
      </w:r>
      <w:r w:rsidR="00E911D2">
        <w:t>foreign residents on the income they earned abroad.</w:t>
      </w:r>
      <w:r w:rsidR="00104B01">
        <w:rPr>
          <w:rStyle w:val="FootnoteReference"/>
        </w:rPr>
        <w:footnoteReference w:id="74"/>
      </w:r>
      <w:r w:rsidR="00E911D2">
        <w:t xml:space="preserve">  </w:t>
      </w:r>
      <w:r w:rsidR="00A055B9">
        <w:t xml:space="preserve">Of course this was absolutely true, when income </w:t>
      </w:r>
      <w:r w:rsidR="00103AE0">
        <w:t>wa</w:t>
      </w:r>
      <w:r w:rsidR="00A055B9">
        <w:t xml:space="preserve">s sourced on a separate accounting basis.  However, as the Supreme Court pointed out in </w:t>
      </w:r>
      <w:r w:rsidR="00A055B9" w:rsidRPr="00E558E8">
        <w:rPr>
          <w:i/>
        </w:rPr>
        <w:t>Container Corp.</w:t>
      </w:r>
      <w:r w:rsidR="00A055B9">
        <w:t xml:space="preserve"> and </w:t>
      </w:r>
      <w:r w:rsidR="00A055B9" w:rsidRPr="00BE65B9">
        <w:rPr>
          <w:i/>
        </w:rPr>
        <w:t>Barclays</w:t>
      </w:r>
      <w:r w:rsidR="00A055B9">
        <w:t xml:space="preserve">, the Constitution does not impose an obligation on a State to respect separate accounting.  Rather, a State is permitted to source income to the State on the basis of formulary apportionment.  In that sense, mandatory </w:t>
      </w:r>
      <w:r w:rsidR="000078AF">
        <w:t>WWCR</w:t>
      </w:r>
      <w:r w:rsidR="00A055B9">
        <w:t xml:space="preserve"> States would claim that they do not seek to tax income earned abroad, they seek to tax income sourced to their State from the application of formulary apportionment.  </w:t>
      </w:r>
      <w:r w:rsidR="00A055B9">
        <w:lastRenderedPageBreak/>
        <w:t xml:space="preserve">Pressure mounted against mandatory </w:t>
      </w:r>
      <w:r w:rsidR="000078AF">
        <w:t>WWCR</w:t>
      </w:r>
      <w:r w:rsidR="00A055B9">
        <w:t>, with the UK</w:t>
      </w:r>
      <w:r w:rsidR="00EC1F1E">
        <w:t xml:space="preserve"> threatening retaliatory action.</w:t>
      </w:r>
      <w:r w:rsidR="0047206C">
        <w:rPr>
          <w:rStyle w:val="FootnoteReference"/>
        </w:rPr>
        <w:footnoteReference w:id="75"/>
      </w:r>
      <w:r w:rsidR="00EC1F1E">
        <w:t xml:space="preserve">  As a result, President Reagan and his Treasury Secretary, Donald Regan, prevailed upon States (with the threat of Federal action) to implement “water</w:t>
      </w:r>
      <w:r w:rsidR="00103AE0">
        <w:t xml:space="preserve">’s </w:t>
      </w:r>
      <w:r w:rsidR="00EC1F1E">
        <w:t xml:space="preserve">edge” limitations </w:t>
      </w:r>
      <w:r w:rsidR="00103AE0">
        <w:t xml:space="preserve">to their </w:t>
      </w:r>
      <w:r w:rsidR="00EC1F1E">
        <w:t xml:space="preserve">mandatory </w:t>
      </w:r>
      <w:r w:rsidR="000078AF">
        <w:t>WWCR</w:t>
      </w:r>
      <w:r w:rsidR="00D558D9">
        <w:t>.  Very generally, a water’s edge limitation excludes entities from the combined group that are not subject to tax for U.S. federal income tax purposes.</w:t>
      </w:r>
      <w:r w:rsidR="001001E0">
        <w:rPr>
          <w:rStyle w:val="FootnoteReference"/>
        </w:rPr>
        <w:footnoteReference w:id="76"/>
      </w:r>
      <w:r w:rsidR="00D558D9">
        <w:t xml:space="preserve"> </w:t>
      </w:r>
      <w:r w:rsidR="001001E0">
        <w:t xml:space="preserve"> </w:t>
      </w:r>
      <w:r w:rsidR="00664CE8">
        <w:t xml:space="preserve">Mandatory </w:t>
      </w:r>
      <w:r w:rsidR="000078AF">
        <w:t>WWCR</w:t>
      </w:r>
      <w:r w:rsidR="00664CE8">
        <w:t xml:space="preserve"> may be making a comeback in some States,</w:t>
      </w:r>
      <w:r w:rsidR="00664CE8">
        <w:rPr>
          <w:rStyle w:val="FootnoteReference"/>
        </w:rPr>
        <w:footnoteReference w:id="77"/>
      </w:r>
      <w:r w:rsidR="00664CE8">
        <w:t xml:space="preserve"> and</w:t>
      </w:r>
      <w:r w:rsidR="00C04452">
        <w:t>,</w:t>
      </w:r>
      <w:r w:rsidR="00664CE8">
        <w:t xml:space="preserve"> relevant to our discussion below, the Federal government may not be as critical this time around. </w:t>
      </w:r>
    </w:p>
    <w:p w14:paraId="7BB20366" w14:textId="77777777" w:rsidR="0048636D" w:rsidRDefault="0048636D" w:rsidP="00593571">
      <w:pPr>
        <w:jc w:val="both"/>
      </w:pPr>
    </w:p>
    <w:p w14:paraId="7739645B" w14:textId="537C5949" w:rsidR="0048636D" w:rsidRDefault="004F30BE" w:rsidP="00593571">
      <w:pPr>
        <w:jc w:val="both"/>
      </w:pPr>
      <w:r>
        <w:t xml:space="preserve">Source of income is not just a helpful tool in tax policy considerations. </w:t>
      </w:r>
      <w:r w:rsidR="00103AE0">
        <w:t xml:space="preserve"> </w:t>
      </w:r>
      <w:r>
        <w:t xml:space="preserve">At least in the State tax contexts, source of income, under the </w:t>
      </w:r>
      <w:r w:rsidR="00215BE7">
        <w:t>benefits requirement requirement</w:t>
      </w:r>
      <w:r w:rsidR="00103AE0">
        <w:t>,</w:t>
      </w:r>
      <w:r>
        <w:t xml:space="preserve"> is a fundamental constitutional principle that a State must heed under both the Due Process Clause (of the Fourteenth Amendment) and the Commerce Clause.  Later, in Part IV, we explore the extent to which the </w:t>
      </w:r>
      <w:r w:rsidR="00215BE7">
        <w:t xml:space="preserve">benefits requirement </w:t>
      </w:r>
      <w:r w:rsidR="00103AE0">
        <w:t xml:space="preserve"> </w:t>
      </w:r>
      <w:r>
        <w:t xml:space="preserve">applies to Federal taxes under the Due Process Clause of the Fifth Amendment.  </w:t>
      </w:r>
      <w:r w:rsidR="0048064E">
        <w:t xml:space="preserve">We also observe relatively consistent patterns in State </w:t>
      </w:r>
      <w:r w:rsidR="000C7B99">
        <w:t>tax in addressing the issues with which the international community struggles.  As volume of business cease</w:t>
      </w:r>
      <w:r w:rsidR="00701952">
        <w:t>d</w:t>
      </w:r>
      <w:r w:rsidR="000C7B99">
        <w:t xml:space="preserve"> to relate to degree of physical presence, physical presence ceased to be determinative of nexus.  As it became easier for companies to choose where to locate assets and hire employees, the majority of States shifted to a single factor sales apportionment, an approach quarter measured in Pillar I Amount</w:t>
      </w:r>
      <w:r w:rsidR="00701952">
        <w:t xml:space="preserve"> A</w:t>
      </w:r>
      <w:r w:rsidR="00A56441">
        <w:t>,</w:t>
      </w:r>
      <w:r w:rsidR="00B56FC3">
        <w:rPr>
          <w:rStyle w:val="FootnoteReference"/>
        </w:rPr>
        <w:footnoteReference w:id="78"/>
      </w:r>
      <w:r w:rsidR="00A56441">
        <w:t xml:space="preserve"> as we </w:t>
      </w:r>
      <w:r w:rsidR="00701952">
        <w:t xml:space="preserve">discuss </w:t>
      </w:r>
      <w:r w:rsidR="00A56441">
        <w:t xml:space="preserve">in Part III.B.  Since markets are the least mobile element of a business and are conveniently related to an enterprise’s generation of income, single factor sales </w:t>
      </w:r>
      <w:r w:rsidR="007D1F38">
        <w:t xml:space="preserve">apportionment </w:t>
      </w:r>
      <w:r w:rsidR="00A56441">
        <w:t>both satisfies a market jurisdiction</w:t>
      </w:r>
      <w:r w:rsidR="007D1F38">
        <w:t>’s</w:t>
      </w:r>
      <w:r w:rsidR="00A56441">
        <w:t xml:space="preserve"> claim as source of income and prevents tax competition and a race to the bottom.  Finally, when States viewed separ</w:t>
      </w:r>
      <w:r w:rsidR="003A7D1A">
        <w:t xml:space="preserve">ate entity status and offshoring of income as problematic, States moved to WWCR until </w:t>
      </w:r>
      <w:r w:rsidR="00F746C4">
        <w:t xml:space="preserve">the Reagan administration threatened to shut </w:t>
      </w:r>
      <w:r w:rsidR="003A7D1A">
        <w:t xml:space="preserve">the practice down. </w:t>
      </w:r>
      <w:r w:rsidR="007D1F38">
        <w:t xml:space="preserve"> </w:t>
      </w:r>
      <w:r w:rsidR="003A7D1A">
        <w:t xml:space="preserve">None of this is to say that State tax does not have a host </w:t>
      </w:r>
      <w:r w:rsidR="00737145">
        <w:t xml:space="preserve">of its own issues, but, as we </w:t>
      </w:r>
      <w:r w:rsidR="007D1F38">
        <w:t>demonstrate,</w:t>
      </w:r>
      <w:r w:rsidR="00737145">
        <w:t xml:space="preserve"> the State tax path to solving the major issues that the international tax world is in the midst of dealing with show</w:t>
      </w:r>
      <w:r w:rsidR="007D1F38">
        <w:t>s</w:t>
      </w:r>
      <w:r w:rsidR="00737145">
        <w:t xml:space="preserve"> a more straightforward and consistent pattern than what we observe with respect to the </w:t>
      </w:r>
      <w:r w:rsidR="007D1F38">
        <w:t>T</w:t>
      </w:r>
      <w:r w:rsidR="00737145">
        <w:t xml:space="preserve">reaty Avoidance </w:t>
      </w:r>
      <w:r w:rsidR="007D1F38">
        <w:t>R</w:t>
      </w:r>
      <w:r w:rsidR="00737145">
        <w:t xml:space="preserve">egimes. </w:t>
      </w:r>
    </w:p>
    <w:p w14:paraId="6FCBF6A9" w14:textId="77777777" w:rsidR="002F285D" w:rsidRDefault="002F285D" w:rsidP="002F285D">
      <w:pPr>
        <w:pStyle w:val="Heading1"/>
      </w:pPr>
      <w:r>
        <w:t>Treaty Avoidance Regimes</w:t>
      </w:r>
    </w:p>
    <w:p w14:paraId="7EC2981E" w14:textId="77777777" w:rsidR="002F285D" w:rsidRDefault="002F285D" w:rsidP="00593571">
      <w:pPr>
        <w:jc w:val="both"/>
      </w:pPr>
    </w:p>
    <w:p w14:paraId="0A52B84E" w14:textId="647A15C4" w:rsidR="00B25F0C" w:rsidRDefault="00024CBE" w:rsidP="00593571">
      <w:pPr>
        <w:jc w:val="both"/>
      </w:pPr>
      <w:r>
        <w:t>B</w:t>
      </w:r>
      <w:r w:rsidR="00FF1DF4">
        <w:t>ack in the Reagan year</w:t>
      </w:r>
      <w:r>
        <w:t>s,</w:t>
      </w:r>
      <w:r w:rsidR="00FF1DF4">
        <w:t xml:space="preserve"> the U</w:t>
      </w:r>
      <w:r w:rsidR="007D1F38">
        <w:t>nited States</w:t>
      </w:r>
      <w:r w:rsidR="00FF1DF4">
        <w:t xml:space="preserve"> </w:t>
      </w:r>
      <w:r>
        <w:t xml:space="preserve">needed to </w:t>
      </w:r>
      <w:r w:rsidR="00FF1DF4">
        <w:t xml:space="preserve">rein in the States </w:t>
      </w:r>
      <w:r>
        <w:t>from expanding their tax bases internationally for the U</w:t>
      </w:r>
      <w:r w:rsidR="007D1F38">
        <w:t>nited States</w:t>
      </w:r>
      <w:r>
        <w:t xml:space="preserve"> to avoid retaliation from its trading partners, as they decried the violation of international tax norms.  T</w:t>
      </w:r>
      <w:r w:rsidR="00FF1DF4">
        <w:t>oday</w:t>
      </w:r>
      <w:r>
        <w:t>,</w:t>
      </w:r>
      <w:r w:rsidR="00FF1DF4">
        <w:t xml:space="preserve"> </w:t>
      </w:r>
      <w:r>
        <w:t>the shoe is on the other foot, and the U</w:t>
      </w:r>
      <w:r w:rsidR="007D1F38">
        <w:t>nited States</w:t>
      </w:r>
      <w:r>
        <w:t xml:space="preserve">’ trading partners are the ones making moves </w:t>
      </w:r>
      <w:r w:rsidR="00950A52">
        <w:t>to expand their tax bases contrary to international tax norms, with the U</w:t>
      </w:r>
      <w:r w:rsidR="007D1F38">
        <w:t>nited States</w:t>
      </w:r>
      <w:r w:rsidR="00950A52">
        <w:t xml:space="preserve"> (weakly and halfheartedly) threatening retaliation.</w:t>
      </w:r>
      <w:r>
        <w:t xml:space="preserve"> </w:t>
      </w:r>
      <w:r w:rsidR="00FF1DF4">
        <w:t xml:space="preserve"> </w:t>
      </w:r>
      <w:r w:rsidR="00B36A6A">
        <w:t xml:space="preserve">In this </w:t>
      </w:r>
      <w:r w:rsidR="007D1F38">
        <w:t>Part III</w:t>
      </w:r>
      <w:r w:rsidR="00B36A6A">
        <w:t xml:space="preserve">, we discuss the Treaty Avoidance Regimes: </w:t>
      </w:r>
      <w:r w:rsidR="00E43D44">
        <w:t xml:space="preserve">the </w:t>
      </w:r>
      <w:r w:rsidR="00B36A6A">
        <w:t>DPT, DST</w:t>
      </w:r>
      <w:r w:rsidR="007D1F38">
        <w:t>s,</w:t>
      </w:r>
      <w:r w:rsidR="00B36A6A">
        <w:t xml:space="preserve"> and UTPR.  T</w:t>
      </w:r>
      <w:r w:rsidR="00055F24">
        <w:t xml:space="preserve">wo </w:t>
      </w:r>
      <w:r w:rsidR="00B36A6A">
        <w:t>of these regimes,</w:t>
      </w:r>
      <w:r w:rsidR="00055F24">
        <w:t xml:space="preserve"> </w:t>
      </w:r>
      <w:r w:rsidR="00E43D44">
        <w:t xml:space="preserve">the </w:t>
      </w:r>
      <w:r w:rsidR="00055F24">
        <w:t>DPT and DST</w:t>
      </w:r>
      <w:r w:rsidR="007D1F38">
        <w:t>s</w:t>
      </w:r>
      <w:r w:rsidR="00B36A6A">
        <w:t>,</w:t>
      </w:r>
      <w:r w:rsidR="00055F24">
        <w:t xml:space="preserve"> </w:t>
      </w:r>
      <w:r w:rsidR="00B36A6A">
        <w:t>can be viewed as revealing countries’</w:t>
      </w:r>
      <w:r w:rsidR="00055F24">
        <w:t xml:space="preserve"> dissatisfaction </w:t>
      </w:r>
      <w:r w:rsidR="00B36A6A">
        <w:t xml:space="preserve">with </w:t>
      </w:r>
      <w:r w:rsidR="005A7BD4">
        <w:t xml:space="preserve">the PE Requirement’s imposition </w:t>
      </w:r>
      <w:r w:rsidR="00B36A6A">
        <w:t>on their right</w:t>
      </w:r>
      <w:r w:rsidR="005A7BD4">
        <w:t xml:space="preserve">s, as market jurisdictions, to tax international income.  Such dissatisfaction aligns with the State tax trends </w:t>
      </w:r>
      <w:r w:rsidR="006C604A">
        <w:t xml:space="preserve">reflected in </w:t>
      </w:r>
      <w:r w:rsidR="006C604A" w:rsidRPr="00737145">
        <w:rPr>
          <w:i/>
        </w:rPr>
        <w:t>Wayfair</w:t>
      </w:r>
      <w:r w:rsidR="006C604A">
        <w:t xml:space="preserve"> and the movement towards </w:t>
      </w:r>
      <w:r w:rsidR="006C604A">
        <w:lastRenderedPageBreak/>
        <w:t xml:space="preserve">single factor sales apportionment.  </w:t>
      </w:r>
      <w:r w:rsidR="002527D2">
        <w:t xml:space="preserve">Specifically, </w:t>
      </w:r>
      <w:r w:rsidR="00E43D44">
        <w:t xml:space="preserve">the </w:t>
      </w:r>
      <w:r w:rsidR="002527D2">
        <w:t>DPT and DSTs reflect attitudes that</w:t>
      </w:r>
      <w:r w:rsidR="007D1F38">
        <w:t>:</w:t>
      </w:r>
      <w:r w:rsidR="002527D2">
        <w:t xml:space="preserve"> (i)</w:t>
      </w:r>
      <w:r w:rsidR="006C604A">
        <w:t xml:space="preserve"> </w:t>
      </w:r>
      <w:r w:rsidR="002527D2">
        <w:t xml:space="preserve">permanent establishment no longer supplies a meaningful threshold to establish or limit a source country’s taxing </w:t>
      </w:r>
      <w:r w:rsidR="006C604A">
        <w:t>rights</w:t>
      </w:r>
      <w:r w:rsidR="002527D2">
        <w:t>,</w:t>
      </w:r>
      <w:r w:rsidR="006C604A">
        <w:t xml:space="preserve"> and </w:t>
      </w:r>
      <w:r w:rsidR="002527D2">
        <w:t xml:space="preserve">(ii) source of income </w:t>
      </w:r>
      <w:r w:rsidR="00EE55E4">
        <w:t xml:space="preserve">should be more closely tied to </w:t>
      </w:r>
      <w:r w:rsidR="006C604A">
        <w:t>market access</w:t>
      </w:r>
      <w:r w:rsidR="00EE55E4">
        <w:t xml:space="preserve">.  </w:t>
      </w:r>
      <w:r w:rsidR="002527D2">
        <w:t>In this Part, w</w:t>
      </w:r>
      <w:r w:rsidR="00B25F0C">
        <w:t xml:space="preserve">e </w:t>
      </w:r>
      <w:r w:rsidR="002527D2">
        <w:t>also</w:t>
      </w:r>
      <w:r w:rsidR="005F6F7C">
        <w:t xml:space="preserve"> discuss UTPR.  A</w:t>
      </w:r>
      <w:r w:rsidR="00B25F0C">
        <w:t xml:space="preserve">s </w:t>
      </w:r>
      <w:r w:rsidR="005F6F7C">
        <w:t xml:space="preserve">a </w:t>
      </w:r>
      <w:r w:rsidR="00B25F0C">
        <w:t xml:space="preserve">part of the </w:t>
      </w:r>
      <w:r w:rsidR="005F6F7C">
        <w:t xml:space="preserve">Pillar II regime </w:t>
      </w:r>
      <w:r w:rsidR="00B25F0C">
        <w:t>initially presented</w:t>
      </w:r>
      <w:r w:rsidR="005F6F7C">
        <w:t xml:space="preserve"> by the OECD, UTPR </w:t>
      </w:r>
      <w:r w:rsidR="00B25F0C">
        <w:t xml:space="preserve">would have represented a sweeping change to the international tax landscape, but not </w:t>
      </w:r>
      <w:r w:rsidR="00EE55E4">
        <w:t>a change</w:t>
      </w:r>
      <w:r w:rsidR="00B25F0C">
        <w:t xml:space="preserve"> </w:t>
      </w:r>
      <w:r w:rsidR="005F6F7C">
        <w:t>that challenges</w:t>
      </w:r>
      <w:r w:rsidR="00B25F0C">
        <w:t xml:space="preserve"> the </w:t>
      </w:r>
      <w:r w:rsidR="005F6F7C">
        <w:t xml:space="preserve">core </w:t>
      </w:r>
      <w:r w:rsidR="00B25F0C">
        <w:t xml:space="preserve">fundamentals </w:t>
      </w:r>
      <w:r w:rsidR="005F6F7C">
        <w:t>of</w:t>
      </w:r>
      <w:r w:rsidR="00B25F0C">
        <w:t xml:space="preserve"> the in</w:t>
      </w:r>
      <w:r w:rsidR="005F6F7C">
        <w:t>ternational tax system</w:t>
      </w:r>
      <w:r w:rsidR="00B25F0C">
        <w:t xml:space="preserve">.  </w:t>
      </w:r>
      <w:r w:rsidR="00EE55E4">
        <w:t>We track UTPR’s</w:t>
      </w:r>
      <w:r w:rsidR="00B25F0C">
        <w:t xml:space="preserve"> progress to what </w:t>
      </w:r>
      <w:r w:rsidR="00EE55E4">
        <w:t>it</w:t>
      </w:r>
      <w:r w:rsidR="00B37A65">
        <w:t xml:space="preserve"> </w:t>
      </w:r>
      <w:r w:rsidR="00B25F0C">
        <w:t xml:space="preserve">has become, which </w:t>
      </w:r>
      <w:r w:rsidR="00B37A65">
        <w:t>is a regime that rejects the historic</w:t>
      </w:r>
      <w:r w:rsidR="00A641D1">
        <w:t>al</w:t>
      </w:r>
      <w:r w:rsidR="00B37A65">
        <w:t xml:space="preserve"> boundaries</w:t>
      </w:r>
      <w:r w:rsidR="005F6F7C">
        <w:t xml:space="preserve"> of taxing</w:t>
      </w:r>
      <w:r w:rsidR="00EE55E4">
        <w:t xml:space="preserve"> </w:t>
      </w:r>
      <w:r w:rsidR="00343B1A">
        <w:t>jurisdiction</w:t>
      </w:r>
      <w:r w:rsidR="00586EE7">
        <w:t xml:space="preserve">, adopts a puzzling form of formulary apportionment, and imbues permanent establishment with more importance than ever before. </w:t>
      </w:r>
    </w:p>
    <w:p w14:paraId="22753020" w14:textId="77777777" w:rsidR="002F285D" w:rsidRDefault="002F285D" w:rsidP="002F285D">
      <w:pPr>
        <w:pStyle w:val="Heading2"/>
      </w:pPr>
      <w:r>
        <w:t>Diverted Profits Tax</w:t>
      </w:r>
    </w:p>
    <w:p w14:paraId="04C4006A" w14:textId="77777777" w:rsidR="002F285D" w:rsidRDefault="002F285D" w:rsidP="002F285D"/>
    <w:p w14:paraId="6E508C3E" w14:textId="1127D8CF" w:rsidR="002F285D" w:rsidRDefault="00E43D44" w:rsidP="002F285D">
      <w:pPr>
        <w:jc w:val="both"/>
      </w:pPr>
      <w:r>
        <w:t xml:space="preserve">The </w:t>
      </w:r>
      <w:r w:rsidR="002F285D">
        <w:t xml:space="preserve">DPT applies in two circumstances. </w:t>
      </w:r>
      <w:r w:rsidR="00187D36">
        <w:t xml:space="preserve"> </w:t>
      </w:r>
      <w:r w:rsidR="002F285D">
        <w:t xml:space="preserve">One circumstance involves a </w:t>
      </w:r>
      <w:r w:rsidR="00381B28">
        <w:t xml:space="preserve">situation </w:t>
      </w:r>
      <w:r w:rsidR="002F285D">
        <w:t xml:space="preserve">in which </w:t>
      </w:r>
      <w:r w:rsidR="00381B28">
        <w:t xml:space="preserve">a </w:t>
      </w:r>
      <w:r w:rsidR="002F285D">
        <w:t xml:space="preserve">UK entity or UK </w:t>
      </w:r>
      <w:r w:rsidR="00381B28">
        <w:t xml:space="preserve">permanent establishment </w:t>
      </w:r>
      <w:r w:rsidR="002F285D">
        <w:t>that enters into an arrangement with a related party has insufficient economic substance and leads to an effective tax mismatch outcome.</w:t>
      </w:r>
      <w:r w:rsidR="002F285D">
        <w:rPr>
          <w:rStyle w:val="FootnoteReference"/>
        </w:rPr>
        <w:footnoteReference w:id="79"/>
      </w:r>
      <w:r w:rsidR="002F285D">
        <w:t xml:space="preserve">  The other circumstance, which </w:t>
      </w:r>
      <w:r>
        <w:t xml:space="preserve">we </w:t>
      </w:r>
      <w:r w:rsidR="002F285D">
        <w:t>focus</w:t>
      </w:r>
      <w:r>
        <w:t xml:space="preserve"> on</w:t>
      </w:r>
      <w:r w:rsidR="002F285D">
        <w:t>, applies when the DPT views a foreign company as avoiding a UK taxable presence.</w:t>
      </w:r>
      <w:r w:rsidR="002F285D">
        <w:rPr>
          <w:rStyle w:val="FootnoteReference"/>
        </w:rPr>
        <w:footnoteReference w:id="80"/>
      </w:r>
      <w:r w:rsidR="002F285D">
        <w:t xml:space="preserve">  This arm of the DPT</w:t>
      </w:r>
      <w:r>
        <w:t>, the Avoidance of PE Rule,</w:t>
      </w:r>
      <w:r w:rsidR="002F285D">
        <w:t xml:space="preserve"> involves </w:t>
      </w:r>
      <w:r>
        <w:t xml:space="preserve">a </w:t>
      </w:r>
      <w:r w:rsidR="002F285D">
        <w:t>foreign company (a company that is not a UK resident) and an “</w:t>
      </w:r>
      <w:r>
        <w:t>A</w:t>
      </w:r>
      <w:r w:rsidR="002F285D">
        <w:t>voided PE”.</w:t>
      </w:r>
      <w:r w:rsidR="002F285D">
        <w:rPr>
          <w:rStyle w:val="FootnoteReference"/>
        </w:rPr>
        <w:footnoteReference w:id="81"/>
      </w:r>
      <w:r w:rsidR="002F285D">
        <w:t xml:space="preserve">  An </w:t>
      </w:r>
      <w:r>
        <w:t>A</w:t>
      </w:r>
      <w:r w:rsidR="002F285D">
        <w:t xml:space="preserve">voided PE generally </w:t>
      </w:r>
      <w:r>
        <w:t xml:space="preserve">is </w:t>
      </w:r>
      <w:r w:rsidR="002F285D">
        <w:t>a person carrying on activity in the UK in connection with the supply of goods or service</w:t>
      </w:r>
      <w:r>
        <w:t>s</w:t>
      </w:r>
      <w:r w:rsidR="002F285D">
        <w:t xml:space="preserve"> made by the foreign company to customers in the UK</w:t>
      </w:r>
      <w:r>
        <w:t>, but</w:t>
      </w:r>
      <w:r w:rsidR="002F285D">
        <w:t xml:space="preserve"> the activity is not carried on through a UK </w:t>
      </w:r>
      <w:r>
        <w:t>permanent establishment</w:t>
      </w:r>
      <w:r w:rsidR="002F285D">
        <w:t>.</w:t>
      </w:r>
      <w:r w:rsidR="002F285D">
        <w:rPr>
          <w:rStyle w:val="FootnoteReference"/>
        </w:rPr>
        <w:footnoteReference w:id="82"/>
      </w:r>
      <w:r w:rsidR="002F285D">
        <w:t xml:space="preserve">  The </w:t>
      </w:r>
      <w:r>
        <w:t>A</w:t>
      </w:r>
      <w:r w:rsidR="002F285D">
        <w:t xml:space="preserve">voidance of PE </w:t>
      </w:r>
      <w:r>
        <w:t>R</w:t>
      </w:r>
      <w:r w:rsidR="002F285D">
        <w:t>ule applies when: (</w:t>
      </w:r>
      <w:r>
        <w:t>i</w:t>
      </w:r>
      <w:r w:rsidR="002F285D">
        <w:t xml:space="preserve">) it is reasonable to assume that the activity of the foreign company and/or </w:t>
      </w:r>
      <w:r>
        <w:t>A</w:t>
      </w:r>
      <w:r w:rsidR="002F285D">
        <w:t xml:space="preserve">voided PE are designed to avoid conducting activity through a UK </w:t>
      </w:r>
      <w:r>
        <w:t xml:space="preserve">permanent establishment, </w:t>
      </w:r>
      <w:r w:rsidR="002F285D">
        <w:t>and (</w:t>
      </w:r>
      <w:r>
        <w:t>ii</w:t>
      </w:r>
      <w:r w:rsidR="002F285D">
        <w:t>) either a mismatch condition or a tax avoidance condition is met.</w:t>
      </w:r>
      <w:r w:rsidR="002F285D">
        <w:rPr>
          <w:rStyle w:val="FootnoteReference"/>
        </w:rPr>
        <w:footnoteReference w:id="83"/>
      </w:r>
      <w:r w:rsidR="002F285D">
        <w:t xml:space="preserve">  Focusing on the tax avoidance condition, it generally applies when, with respect to the </w:t>
      </w:r>
      <w:r>
        <w:t>A</w:t>
      </w:r>
      <w:r w:rsidR="002F285D">
        <w:t>voided PE or foreign company, arrangements are in place one of the main purposes of which is to avoid UK corporate tax.</w:t>
      </w:r>
      <w:r w:rsidR="002F285D">
        <w:rPr>
          <w:rStyle w:val="FootnoteReference"/>
        </w:rPr>
        <w:footnoteReference w:id="84"/>
      </w:r>
      <w:r w:rsidR="002F285D">
        <w:t xml:space="preserve">  </w:t>
      </w:r>
    </w:p>
    <w:p w14:paraId="23210708" w14:textId="77777777" w:rsidR="00353257" w:rsidRDefault="00353257" w:rsidP="002F285D">
      <w:pPr>
        <w:jc w:val="both"/>
      </w:pPr>
    </w:p>
    <w:p w14:paraId="451795F2" w14:textId="0421771E" w:rsidR="00353257" w:rsidRDefault="00353257" w:rsidP="002F285D">
      <w:pPr>
        <w:jc w:val="both"/>
      </w:pPr>
      <w:r>
        <w:t>When the Avoidance of PE Rule applies, the tax is imposed on the foreign company</w:t>
      </w:r>
      <w:r w:rsidR="007F2093">
        <w:t>.  The tax</w:t>
      </w:r>
      <w:r>
        <w:t xml:space="preserve"> can be collected </w:t>
      </w:r>
      <w:r w:rsidR="007F2093">
        <w:t>from the A</w:t>
      </w:r>
      <w:r>
        <w:t>voided PE, as a representative of the foreign company.</w:t>
      </w:r>
      <w:r>
        <w:rPr>
          <w:rStyle w:val="FootnoteReference"/>
        </w:rPr>
        <w:footnoteReference w:id="85"/>
      </w:r>
      <w:r>
        <w:t xml:space="preserve"> </w:t>
      </w:r>
    </w:p>
    <w:p w14:paraId="34E04F2A" w14:textId="77777777" w:rsidR="002F285D" w:rsidRDefault="002F285D" w:rsidP="002F285D">
      <w:pPr>
        <w:jc w:val="both"/>
      </w:pPr>
    </w:p>
    <w:p w14:paraId="1C49C777" w14:textId="3067D1AE" w:rsidR="002F285D" w:rsidRDefault="007F2093" w:rsidP="002F285D">
      <w:pPr>
        <w:jc w:val="both"/>
      </w:pPr>
      <w:r>
        <w:t>The “diverted profits” upon which the DPT is charged (when the Avoidance of PE Rule applies only as the result of the application of the tax avoidance condition) are the chargeable profits of the foreign company had it had a UK permanent establishment.</w:t>
      </w:r>
      <w:r>
        <w:rPr>
          <w:rStyle w:val="FootnoteReference"/>
        </w:rPr>
        <w:footnoteReference w:id="86"/>
      </w:r>
      <w:r>
        <w:t xml:space="preserve">  </w:t>
      </w:r>
      <w:r w:rsidR="002F285D">
        <w:t xml:space="preserve">The tax rate for </w:t>
      </w:r>
      <w:r>
        <w:t xml:space="preserve">the </w:t>
      </w:r>
      <w:r w:rsidR="002F285D">
        <w:t>DPT is 31%, which is higher than the 25% UK corporate tax rate.</w:t>
      </w:r>
      <w:r w:rsidR="002F285D">
        <w:rPr>
          <w:rStyle w:val="FootnoteReference"/>
        </w:rPr>
        <w:footnoteReference w:id="87"/>
      </w:r>
      <w:r w:rsidR="002F285D">
        <w:t xml:space="preserve">  Furthermore, </w:t>
      </w:r>
      <w:r>
        <w:t xml:space="preserve">the </w:t>
      </w:r>
      <w:r w:rsidR="002F285D">
        <w:t xml:space="preserve">DPT must be paid when assessed without a right to delay payment until after a proceeding establishing the rightful </w:t>
      </w:r>
      <w:r w:rsidR="002F285D">
        <w:lastRenderedPageBreak/>
        <w:t>application of the DPT.</w:t>
      </w:r>
      <w:r w:rsidR="002F285D">
        <w:rPr>
          <w:rStyle w:val="FootnoteReference"/>
        </w:rPr>
        <w:footnoteReference w:id="88"/>
      </w:r>
      <w:r w:rsidR="002F285D">
        <w:t xml:space="preserve">  Finally, </w:t>
      </w:r>
      <w:r>
        <w:t>the DPT does not apply to small- or medium-sized enterprises or to groups with UK related sales below GBP 10 million or UK-related expenses below GBP 1 million.</w:t>
      </w:r>
      <w:r>
        <w:rPr>
          <w:rStyle w:val="FootnoteReference"/>
        </w:rPr>
        <w:footnoteReference w:id="89"/>
      </w:r>
      <w:r>
        <w:t xml:space="preserve">  </w:t>
      </w:r>
    </w:p>
    <w:p w14:paraId="5575E577" w14:textId="77777777" w:rsidR="002F285D" w:rsidRDefault="002F285D" w:rsidP="002F285D">
      <w:pPr>
        <w:jc w:val="both"/>
      </w:pPr>
    </w:p>
    <w:p w14:paraId="26F0D9C7" w14:textId="3AA1EEA6" w:rsidR="002F285D" w:rsidRDefault="002F285D" w:rsidP="002F285D">
      <w:pPr>
        <w:jc w:val="both"/>
      </w:pPr>
      <w:r>
        <w:t xml:space="preserve">Although styled as an anti-abuse measure, the Avoidance of PE Rule much more closely resembles a regime implemented out of the UK’s dissatisfaction with its treaty arrangements.  Simply understood, the exact purpose of the </w:t>
      </w:r>
      <w:r w:rsidR="007F2093">
        <w:t xml:space="preserve">permanent establishment </w:t>
      </w:r>
      <w:r>
        <w:t xml:space="preserve">provision in an income tax treaty is that if a foreign enterprise can operate in a treaty jurisdiction without operations rising to the level of a </w:t>
      </w:r>
      <w:r w:rsidR="007F2093">
        <w:t>permanent establishment</w:t>
      </w:r>
      <w:r>
        <w:t xml:space="preserve">, then the jurisdiction does not have the right to tax the business profits of the foreign enterprise.  One can imagine an anti-abuse provision that addresses fictitious arrangements implemented to avoid a </w:t>
      </w:r>
      <w:r w:rsidR="007F2093">
        <w:t>permanent establishment</w:t>
      </w:r>
      <w:r>
        <w:t xml:space="preserve">, but the Avoidance of PE Rule does not have such a limitation.  Rather, one could see the Avoidance of PE Rule applying in almost any scenario in which an enterprise has operations in the UK that do not rise to the level of a </w:t>
      </w:r>
      <w:r w:rsidR="007F2093">
        <w:t>permanent establishment,</w:t>
      </w:r>
      <w:r w:rsidR="007F2093" w:rsidDel="007F2093">
        <w:t xml:space="preserve"> </w:t>
      </w:r>
      <w:r>
        <w:t xml:space="preserve">and those </w:t>
      </w:r>
      <w:r w:rsidR="00CB5011">
        <w:t xml:space="preserve">UK operations </w:t>
      </w:r>
      <w:r>
        <w:t>are connected to the commercial activities of a non-UK company operating in a jurisdiction that has a corporate tax rate that is lower than the UK’s corporate tax rate.  For example, a UK marketing company providing marketing services for a U</w:t>
      </w:r>
      <w:r w:rsidR="00CB5011">
        <w:t>.</w:t>
      </w:r>
      <w:r>
        <w:t>S</w:t>
      </w:r>
      <w:r w:rsidR="00CB5011">
        <w:t>.</w:t>
      </w:r>
      <w:r>
        <w:t xml:space="preserve"> manufacturer and seller may be subject to the Avoidance of PE Rule.  The U</w:t>
      </w:r>
      <w:r w:rsidR="00CB5011">
        <w:t>.</w:t>
      </w:r>
      <w:r>
        <w:t>S</w:t>
      </w:r>
      <w:r w:rsidR="00CB5011">
        <w:t>.</w:t>
      </w:r>
      <w:r>
        <w:t xml:space="preserve"> company will almost certainly have arrangements in place to avoid having the UK marketing company negotiate or make UK sales specifically to avoid having a UK </w:t>
      </w:r>
      <w:r w:rsidR="00CB5011">
        <w:t>permanent establishment</w:t>
      </w:r>
      <w:r>
        <w:t>.  There is nothing apparently abusive about such an arrangement, as the tax treaty between the U</w:t>
      </w:r>
      <w:r w:rsidR="00CB5011">
        <w:t>nited States</w:t>
      </w:r>
      <w:r>
        <w:t xml:space="preserve"> and the UK specifically provides that the UK cedes its taxing rights when a U</w:t>
      </w:r>
      <w:r w:rsidR="00CB5011">
        <w:t>.</w:t>
      </w:r>
      <w:r>
        <w:t>S</w:t>
      </w:r>
      <w:r w:rsidR="00CB5011">
        <w:t>.</w:t>
      </w:r>
      <w:r>
        <w:t xml:space="preserve"> company operates in the UK without a fixed place of business in the UK and without a dependent agent in the UK who habitually exercises authority to conclude contracts that are binding on the U</w:t>
      </w:r>
      <w:r w:rsidR="00CB5011">
        <w:t>.</w:t>
      </w:r>
      <w:r>
        <w:t>S</w:t>
      </w:r>
      <w:r w:rsidR="00CB5011">
        <w:t>.</w:t>
      </w:r>
      <w:r>
        <w:t xml:space="preserve"> company.</w:t>
      </w:r>
      <w:r>
        <w:rPr>
          <w:rStyle w:val="FootnoteReference"/>
        </w:rPr>
        <w:footnoteReference w:id="90"/>
      </w:r>
      <w:r>
        <w:t xml:space="preserve">  It may be the case that the limitations the </w:t>
      </w:r>
      <w:r w:rsidR="00CB5011">
        <w:t>United States-UK</w:t>
      </w:r>
      <w:r>
        <w:t xml:space="preserve"> tax treaty place</w:t>
      </w:r>
      <w:r w:rsidR="0030549B">
        <w:t>s</w:t>
      </w:r>
      <w:r>
        <w:t xml:space="preserve"> on what constitutes a </w:t>
      </w:r>
      <w:r w:rsidR="00CB5011">
        <w:t>permanent establishment</w:t>
      </w:r>
      <w:r w:rsidR="00CB5011" w:rsidDel="00CB5011">
        <w:t xml:space="preserve"> </w:t>
      </w:r>
      <w:r>
        <w:t xml:space="preserve">are obsolete in the modern economy, but that argument implies that </w:t>
      </w:r>
      <w:r w:rsidR="00CB5011">
        <w:t xml:space="preserve">the </w:t>
      </w:r>
      <w:r>
        <w:t xml:space="preserve">DPT was not implemented to curb taxpayer abuse, but rather to facilitate UK treaty avoidance.  It is also worth noting that the broad sweep of the Avoidance of PE Rule and the punitive nature of the DPT (charged at a higher rate and with fewer process protections) combine to incentivize foreign businesses to </w:t>
      </w:r>
      <w:r w:rsidR="0030549B">
        <w:t xml:space="preserve">concede </w:t>
      </w:r>
      <w:r w:rsidR="00CB5011">
        <w:t xml:space="preserve">permanent establishments </w:t>
      </w:r>
      <w:r>
        <w:t xml:space="preserve">in the UK rather than run the risk of becoming subject to the DPT.  In other words, the Avoidance of PE Rule has an apparent design component to incentivize taxpayers not to avail themselves of </w:t>
      </w:r>
      <w:r w:rsidR="00CB5011">
        <w:t xml:space="preserve">the </w:t>
      </w:r>
      <w:r>
        <w:t>treaty protection to which they are entitled.  This too implies a motivation, on the part of the UK, unrelated to tax avoidance and, instead, related to eroding the tax base of its treaty partners.  In our example above, if out of concern</w:t>
      </w:r>
      <w:r w:rsidRPr="002E4F3D">
        <w:t xml:space="preserve"> </w:t>
      </w:r>
      <w:r>
        <w:t>from the potential application of the punitive DPT regime, the U</w:t>
      </w:r>
      <w:r w:rsidR="00CB5011">
        <w:t>.</w:t>
      </w:r>
      <w:r>
        <w:t>S</w:t>
      </w:r>
      <w:r w:rsidR="00CB5011">
        <w:t>.</w:t>
      </w:r>
      <w:r>
        <w:t xml:space="preserve"> company opts to have a UK </w:t>
      </w:r>
      <w:r w:rsidR="00CB5011">
        <w:t>permanent establishment</w:t>
      </w:r>
      <w:r>
        <w:t xml:space="preserve">, the result is more taxable income to the UK and less to the </w:t>
      </w:r>
      <w:r w:rsidR="00CB5011">
        <w:t>United States</w:t>
      </w:r>
      <w:r>
        <w:t xml:space="preserve">, per the </w:t>
      </w:r>
      <w:r w:rsidR="00CB5011">
        <w:t xml:space="preserve">United States’ </w:t>
      </w:r>
      <w:r>
        <w:t>treaty obligation to prevent double tax.</w:t>
      </w:r>
      <w:r>
        <w:rPr>
          <w:rStyle w:val="FootnoteReference"/>
        </w:rPr>
        <w:footnoteReference w:id="91"/>
      </w:r>
    </w:p>
    <w:p w14:paraId="00DF6F14" w14:textId="2EF81C05" w:rsidR="00146465" w:rsidRDefault="00B36A6A" w:rsidP="00146465">
      <w:pPr>
        <w:pStyle w:val="Heading2"/>
      </w:pPr>
      <w:r>
        <w:t>Digital Services Tax</w:t>
      </w:r>
      <w:r w:rsidR="00243F64">
        <w:t>es</w:t>
      </w:r>
      <w:r>
        <w:t xml:space="preserve"> (and Pillar I)</w:t>
      </w:r>
    </w:p>
    <w:p w14:paraId="16B50632" w14:textId="77777777" w:rsidR="00146465" w:rsidRDefault="00146465" w:rsidP="002F285D">
      <w:pPr>
        <w:jc w:val="both"/>
      </w:pPr>
    </w:p>
    <w:p w14:paraId="39BB5AEC" w14:textId="231FA43F" w:rsidR="002F285D" w:rsidRDefault="002F285D" w:rsidP="002F285D">
      <w:pPr>
        <w:jc w:val="both"/>
      </w:pPr>
      <w:r>
        <w:lastRenderedPageBreak/>
        <w:t xml:space="preserve">DSTs are arguably an even more overt move that a number of countries have made to tax income that treaty obligations would otherwise prevent them from reaching.  DSTs, generally speaking, are taxes that a country imposes on the revenue of </w:t>
      </w:r>
      <w:r w:rsidR="00CB5011">
        <w:t xml:space="preserve">an </w:t>
      </w:r>
      <w:r>
        <w:t>enterprise earned with respect to the provision of one or more types of digital service</w:t>
      </w:r>
      <w:r w:rsidR="00CB5011">
        <w:t>s</w:t>
      </w:r>
      <w:r>
        <w:t>.  For example, France has a DST that imposes a 3% tax on revenue earned from the supply, through a digital interface, of a digital platform or from the supply of services to advertisers related to user data.</w:t>
      </w:r>
      <w:r>
        <w:rPr>
          <w:rStyle w:val="FootnoteReference"/>
        </w:rPr>
        <w:footnoteReference w:id="92"/>
      </w:r>
      <w:r>
        <w:t xml:space="preserve">  </w:t>
      </w:r>
      <w:r w:rsidR="00CB5011">
        <w:t xml:space="preserve">The </w:t>
      </w:r>
      <w:r>
        <w:t>French DST is limited to enterprises that satisfy both a global revenue threshold and domestic revenue threshold.</w:t>
      </w:r>
      <w:r>
        <w:rPr>
          <w:rStyle w:val="FootnoteReference"/>
        </w:rPr>
        <w:footnoteReference w:id="93"/>
      </w:r>
      <w:r>
        <w:t xml:space="preserve">  The global revenue threshold is satisfied if the enterprise generates annual global revenue of EUR 750 million or more</w:t>
      </w:r>
      <w:r w:rsidR="00EA67AE">
        <w:t>,</w:t>
      </w:r>
      <w:r>
        <w:t xml:space="preserve"> and the domestic revenue threshold is satisfied if the enterprise generates EUR 25 million or more in French revenue.</w:t>
      </w:r>
      <w:r>
        <w:rPr>
          <w:rStyle w:val="FootnoteReference"/>
        </w:rPr>
        <w:footnoteReference w:id="94"/>
      </w:r>
      <w:r>
        <w:t xml:space="preserve">  Spain’s DST has similar terms as the French DST, but applies to gross revenue from digital intermediation services, digital advertising services, and </w:t>
      </w:r>
      <w:r w:rsidR="003B077D">
        <w:t xml:space="preserve">the </w:t>
      </w:r>
      <w:r>
        <w:t>sale of user data generated through digital interface and has a lower domestic revenue threshold of EUR 3 million.</w:t>
      </w:r>
      <w:r>
        <w:rPr>
          <w:rStyle w:val="FootnoteReference"/>
        </w:rPr>
        <w:footnoteReference w:id="95"/>
      </w:r>
      <w:r>
        <w:t xml:space="preserve">  In general, the rate, scope</w:t>
      </w:r>
      <w:r w:rsidR="003B077D">
        <w:t>,</w:t>
      </w:r>
      <w:r>
        <w:t xml:space="preserve"> and revenue thresholds vary widely between countries that have implemented DSTs.  For example, Austria’s DST rate is 5%, but Austria only taxes revenue from online advertising.</w:t>
      </w:r>
      <w:r>
        <w:rPr>
          <w:rStyle w:val="FootnoteReference"/>
        </w:rPr>
        <w:footnoteReference w:id="96"/>
      </w:r>
      <w:r>
        <w:t xml:space="preserve">  The </w:t>
      </w:r>
      <w:r w:rsidR="003B077D">
        <w:t>UK</w:t>
      </w:r>
      <w:r>
        <w:t xml:space="preserve"> imposes a 2% tax on revenue</w:t>
      </w:r>
      <w:r w:rsidR="003B077D">
        <w:t xml:space="preserve"> from</w:t>
      </w:r>
      <w:r>
        <w:t xml:space="preserve"> social media platforms, internet search engines, and online market places.</w:t>
      </w:r>
      <w:r>
        <w:rPr>
          <w:rStyle w:val="FootnoteReference"/>
        </w:rPr>
        <w:footnoteReference w:id="97"/>
      </w:r>
      <w:r>
        <w:t xml:space="preserve">  In some countries, DSTs are imposed on both resident and nonresident companies and are deductible for corporate income tax purposes against the income of resident companies.</w:t>
      </w:r>
      <w:r>
        <w:rPr>
          <w:rStyle w:val="FootnoteReference"/>
        </w:rPr>
        <w:footnoteReference w:id="98"/>
      </w:r>
      <w:r>
        <w:t xml:space="preserve">  India’s DST, the equalization levy, however, is imposed only on nonresident companies.</w:t>
      </w:r>
      <w:r>
        <w:rPr>
          <w:rStyle w:val="FootnoteReference"/>
        </w:rPr>
        <w:footnoteReference w:id="99"/>
      </w:r>
      <w:r>
        <w:t xml:space="preserve">  </w:t>
      </w:r>
    </w:p>
    <w:p w14:paraId="639BDBE6" w14:textId="77777777" w:rsidR="002F285D" w:rsidRDefault="002F285D" w:rsidP="002F285D">
      <w:pPr>
        <w:jc w:val="both"/>
      </w:pPr>
    </w:p>
    <w:p w14:paraId="6D4FE5B6" w14:textId="250823B7" w:rsidR="002F285D" w:rsidRDefault="002F285D" w:rsidP="00126E4F">
      <w:pPr>
        <w:jc w:val="both"/>
      </w:pPr>
      <w:r>
        <w:t>The introduction of DSTs caused the international uproar th</w:t>
      </w:r>
      <w:r w:rsidR="00126E4F">
        <w:t>at</w:t>
      </w:r>
      <w:r>
        <w:t xml:space="preserve"> led to </w:t>
      </w:r>
      <w:r w:rsidR="00126E4F">
        <w:t xml:space="preserve">the </w:t>
      </w:r>
      <w:r>
        <w:t xml:space="preserve">Inclusive Framework’s adoption of the two-pillar solution </w:t>
      </w:r>
      <w:r w:rsidRPr="000240AB">
        <w:t>to address tax challenges arising from the digitalization of the world economy</w:t>
      </w:r>
      <w:r>
        <w:t>.</w:t>
      </w:r>
      <w:bookmarkStart w:id="6" w:name="_Ref149463786"/>
      <w:r w:rsidR="00A54563">
        <w:rPr>
          <w:rStyle w:val="FootnoteReference"/>
        </w:rPr>
        <w:footnoteReference w:id="100"/>
      </w:r>
      <w:bookmarkEnd w:id="6"/>
      <w:r>
        <w:t xml:space="preserve">  Specifically, in December 2019, the U</w:t>
      </w:r>
      <w:r w:rsidR="00126E4F">
        <w:t>.</w:t>
      </w:r>
      <w:r>
        <w:t>S</w:t>
      </w:r>
      <w:r w:rsidR="00126E4F">
        <w:t>.</w:t>
      </w:r>
      <w:r>
        <w:t xml:space="preserve"> Trade Representative</w:t>
      </w:r>
      <w:r w:rsidR="00126E4F">
        <w:t xml:space="preserve"> (the “USTR”)</w:t>
      </w:r>
      <w:r>
        <w:t xml:space="preserve"> determined that France’s DST was subject to action under </w:t>
      </w:r>
      <w:r w:rsidR="00126E4F">
        <w:t>s</w:t>
      </w:r>
      <w:r>
        <w:t>ection 301</w:t>
      </w:r>
      <w:r w:rsidR="00126E4F">
        <w:t xml:space="preserve"> of the Trade Act of 1974 (i.e., it was unreasonable or discriminatory and burdened or restricted U.S. commerce),</w:t>
      </w:r>
      <w:r>
        <w:t xml:space="preserve"> </w:t>
      </w:r>
      <w:r w:rsidRPr="00C068A5">
        <w:t xml:space="preserve">discriminated against U.S. digital companies, </w:t>
      </w:r>
      <w:r w:rsidR="00126E4F">
        <w:t>was</w:t>
      </w:r>
      <w:r w:rsidR="00126E4F" w:rsidRPr="00C068A5">
        <w:t xml:space="preserve"> </w:t>
      </w:r>
      <w:r w:rsidRPr="00C068A5">
        <w:t>inconsistent with principles of international taxation, and</w:t>
      </w:r>
      <w:r>
        <w:t xml:space="preserve"> burdened U.S. companies.</w:t>
      </w:r>
      <w:bookmarkStart w:id="7" w:name="_Ref149430721"/>
      <w:r w:rsidR="005447B0">
        <w:rPr>
          <w:rStyle w:val="FootnoteReference"/>
        </w:rPr>
        <w:footnoteReference w:id="101"/>
      </w:r>
      <w:bookmarkEnd w:id="7"/>
      <w:r>
        <w:t xml:space="preserve">  In January 2021, the USTR determined that the same was true with respect to the</w:t>
      </w:r>
      <w:r w:rsidRPr="00C068A5">
        <w:t xml:space="preserve"> DSTs adopted by Austria, India, Italy, Spain,</w:t>
      </w:r>
      <w:r>
        <w:t xml:space="preserve"> Turkey, and the </w:t>
      </w:r>
      <w:r w:rsidR="00126E4F">
        <w:t>UK</w:t>
      </w:r>
      <w:r>
        <w:t xml:space="preserve">.  </w:t>
      </w:r>
      <w:r w:rsidR="00126E4F">
        <w:t>I</w:t>
      </w:r>
      <w:r>
        <w:t xml:space="preserve">n </w:t>
      </w:r>
      <w:r>
        <w:lastRenderedPageBreak/>
        <w:t xml:space="preserve">March of that year, </w:t>
      </w:r>
      <w:r w:rsidR="00126E4F">
        <w:t xml:space="preserve">the USTR </w:t>
      </w:r>
      <w:r>
        <w:t>announced proposed trade actions against the offending countries.</w:t>
      </w:r>
      <w:r w:rsidR="005447B0">
        <w:rPr>
          <w:rStyle w:val="FootnoteReference"/>
        </w:rPr>
        <w:footnoteReference w:id="102"/>
      </w:r>
      <w:r>
        <w:t xml:space="preserve">  The U</w:t>
      </w:r>
      <w:r w:rsidR="00126E4F">
        <w:t xml:space="preserve">nited </w:t>
      </w:r>
      <w:r>
        <w:t>S</w:t>
      </w:r>
      <w:r w:rsidR="00126E4F">
        <w:t>tates</w:t>
      </w:r>
      <w:r>
        <w:t xml:space="preserve"> backed down from taking section 301 action on October 8, 2021,</w:t>
      </w:r>
      <w:r w:rsidR="00126E4F">
        <w:t xml:space="preserve"> when</w:t>
      </w:r>
      <w:r>
        <w:t xml:space="preserve"> the</w:t>
      </w:r>
      <w:r w:rsidR="00146465">
        <w:t xml:space="preserve"> Inclusive Framework reached an</w:t>
      </w:r>
      <w:r>
        <w:t xml:space="preserve"> agreement on the two-pillar solution.</w:t>
      </w:r>
      <w:r w:rsidR="005447B0">
        <w:rPr>
          <w:rStyle w:val="FootnoteReference"/>
        </w:rPr>
        <w:footnoteReference w:id="103"/>
      </w:r>
      <w:r>
        <w:t xml:space="preserve">  Countries with DSTs on the books won out substantially from this deal.  Countries with DSTs already in effect agreed to withdraw their DSTs upon the implementation of Pillar I and to credit DSTs charged before the impl</w:t>
      </w:r>
      <w:r w:rsidR="00A0573E">
        <w:t>eme</w:t>
      </w:r>
      <w:r>
        <w:t>ntation of Pillar I against future Pillar I liability.</w:t>
      </w:r>
      <w:r w:rsidR="0095432D">
        <w:rPr>
          <w:rStyle w:val="FootnoteReference"/>
        </w:rPr>
        <w:footnoteReference w:id="104"/>
      </w:r>
      <w:r>
        <w:t xml:space="preserve">  </w:t>
      </w:r>
      <w:r w:rsidR="00A0573E">
        <w:t>The two-pillar solution placed a</w:t>
      </w:r>
      <w:r>
        <w:t xml:space="preserve"> moratorium on the introduction of new DSTs </w:t>
      </w:r>
      <w:r w:rsidR="00A0573E">
        <w:t xml:space="preserve">until </w:t>
      </w:r>
      <w:r>
        <w:t>the end of 2023, so Inclusive Framework countries poised to implement DSTs needed to hold off.</w:t>
      </w:r>
      <w:r w:rsidR="002A4D1B">
        <w:rPr>
          <w:rStyle w:val="FootnoteReference"/>
        </w:rPr>
        <w:footnoteReference w:id="105"/>
      </w:r>
      <w:r>
        <w:t xml:space="preserve">  Recently, the moratorium was extended to the end of 2024</w:t>
      </w:r>
      <w:r w:rsidR="00A0573E">
        <w:t>,</w:t>
      </w:r>
      <w:r>
        <w:t xml:space="preserve"> with the possibility of being further extended to the end of 2025.</w:t>
      </w:r>
      <w:r w:rsidR="00E0111B">
        <w:rPr>
          <w:rStyle w:val="FootnoteReference"/>
        </w:rPr>
        <w:footnoteReference w:id="106"/>
      </w:r>
      <w:r>
        <w:t xml:space="preserve">  Canada </w:t>
      </w:r>
      <w:r w:rsidR="0033038F">
        <w:t>did not approve the extension of the moratorium,</w:t>
      </w:r>
      <w:r w:rsidR="0033038F">
        <w:rPr>
          <w:rStyle w:val="FootnoteReference"/>
        </w:rPr>
        <w:footnoteReference w:id="107"/>
      </w:r>
      <w:r w:rsidR="0033038F">
        <w:t xml:space="preserve"> and indicated that</w:t>
      </w:r>
      <w:r>
        <w:t xml:space="preserve"> </w:t>
      </w:r>
      <w:r w:rsidR="00A0573E">
        <w:t xml:space="preserve">it </w:t>
      </w:r>
      <w:r>
        <w:t>plans to move forward with the implementation of its DST.</w:t>
      </w:r>
      <w:r w:rsidR="0033038F">
        <w:rPr>
          <w:rStyle w:val="FootnoteReference"/>
        </w:rPr>
        <w:footnoteReference w:id="108"/>
      </w:r>
      <w:r>
        <w:t xml:space="preserve">  Canada reasonably point</w:t>
      </w:r>
      <w:r w:rsidR="00A0573E">
        <w:t>ed</w:t>
      </w:r>
      <w:r>
        <w:t xml:space="preserve"> out the inequity between countries that had pre-existing DSTs and who have been collecting on them for years and countries, like Canada</w:t>
      </w:r>
      <w:r w:rsidR="00A0573E">
        <w:t>,</w:t>
      </w:r>
      <w:r>
        <w:t xml:space="preserve"> who have been forced to wait to implement their DSTs.</w:t>
      </w:r>
      <w:r w:rsidR="00E15F94">
        <w:rPr>
          <w:rStyle w:val="FootnoteReference"/>
        </w:rPr>
        <w:footnoteReference w:id="109"/>
      </w:r>
      <w:r>
        <w:t xml:space="preserve"> </w:t>
      </w:r>
    </w:p>
    <w:p w14:paraId="2D2C6B2F" w14:textId="77777777" w:rsidR="002F285D" w:rsidRDefault="002F285D" w:rsidP="002F285D">
      <w:pPr>
        <w:jc w:val="both"/>
      </w:pPr>
    </w:p>
    <w:p w14:paraId="1C18AB7D" w14:textId="2E1A7F6A" w:rsidR="002F285D" w:rsidRDefault="002F285D" w:rsidP="002F285D">
      <w:pPr>
        <w:jc w:val="both"/>
      </w:pPr>
      <w:r>
        <w:t xml:space="preserve">Pillar I, oddly enough, in the form it has taken has very little to do with DSTs, other than the fact that countries have agreed to withdraw their DSTs upon the adoption of Pillar I.  The specific part of Pillar I that relates somewhat to DSTs is Amount A.  Originally, </w:t>
      </w:r>
      <w:r w:rsidR="00BD59BF">
        <w:t xml:space="preserve">in the October 2020 Pillar I Blueprint, the OECD </w:t>
      </w:r>
      <w:r w:rsidRPr="0083150C">
        <w:t xml:space="preserve">planned </w:t>
      </w:r>
      <w:r>
        <w:t xml:space="preserve">that Amount A would only applies to </w:t>
      </w:r>
      <w:r w:rsidR="00AF2EC5">
        <w:t>multinational g</w:t>
      </w:r>
      <w:r>
        <w:t xml:space="preserve">roups </w:t>
      </w:r>
      <w:r w:rsidRPr="0083150C">
        <w:t xml:space="preserve">providing automated digital services or </w:t>
      </w:r>
      <w:r>
        <w:t>that had consumer facing businesses.</w:t>
      </w:r>
      <w:r w:rsidR="00B75835">
        <w:rPr>
          <w:rStyle w:val="FootnoteReference"/>
        </w:rPr>
        <w:footnoteReference w:id="110"/>
      </w:r>
      <w:r>
        <w:t xml:space="preserve">  That limitation was removed</w:t>
      </w:r>
      <w:r w:rsidR="00AF2EC5">
        <w:t>,</w:t>
      </w:r>
      <w:r w:rsidRPr="0083150C">
        <w:t xml:space="preserve"> and</w:t>
      </w:r>
      <w:r>
        <w:t xml:space="preserve"> Amount A now would apply</w:t>
      </w:r>
      <w:r w:rsidRPr="0083150C">
        <w:t xml:space="preserve"> </w:t>
      </w:r>
      <w:r>
        <w:t xml:space="preserve">to all </w:t>
      </w:r>
      <w:r w:rsidR="00DB0069">
        <w:t xml:space="preserve">“Covered Groups,” which generally are </w:t>
      </w:r>
      <w:r w:rsidR="005A342F">
        <w:t>“Groups”</w:t>
      </w:r>
      <w:r w:rsidR="005A342F">
        <w:rPr>
          <w:rStyle w:val="FootnoteReference"/>
        </w:rPr>
        <w:footnoteReference w:id="111"/>
      </w:r>
      <w:r>
        <w:t xml:space="preserve"> w</w:t>
      </w:r>
      <w:r w:rsidR="00B75835">
        <w:t>ith revenue in excess of EUR 20 billion</w:t>
      </w:r>
      <w:r>
        <w:t xml:space="preserve"> and with pre-tax profit margins in excess of 10%.</w:t>
      </w:r>
      <w:r w:rsidR="00E15F94">
        <w:rPr>
          <w:rStyle w:val="FootnoteReference"/>
        </w:rPr>
        <w:footnoteReference w:id="112"/>
      </w:r>
      <w:r>
        <w:t xml:space="preserve"> </w:t>
      </w:r>
      <w:r w:rsidRPr="0083150C">
        <w:t xml:space="preserve"> </w:t>
      </w:r>
      <w:r>
        <w:t xml:space="preserve">Amount A calls for the reallocation of a portion of the profits of </w:t>
      </w:r>
      <w:r w:rsidR="00B75835">
        <w:t>a Covered Group</w:t>
      </w:r>
      <w:r>
        <w:t xml:space="preserve"> by applying formulary apportionment.  </w:t>
      </w:r>
      <w:r w:rsidR="00B75835">
        <w:t>In general terms</w:t>
      </w:r>
      <w:r>
        <w:t xml:space="preserve">, such apportionment would be undertaken as follows. </w:t>
      </w:r>
    </w:p>
    <w:p w14:paraId="7977A3D6" w14:textId="77777777" w:rsidR="002F285D" w:rsidRDefault="002F285D" w:rsidP="002F285D">
      <w:pPr>
        <w:jc w:val="both"/>
      </w:pPr>
    </w:p>
    <w:p w14:paraId="7DD5493E" w14:textId="77777777" w:rsidR="002F285D" w:rsidRDefault="00B75835" w:rsidP="00B75835">
      <w:pPr>
        <w:pStyle w:val="ListParagraph"/>
        <w:numPr>
          <w:ilvl w:val="0"/>
          <w:numId w:val="15"/>
        </w:numPr>
        <w:jc w:val="both"/>
      </w:pPr>
      <w:r>
        <w:lastRenderedPageBreak/>
        <w:t>T</w:t>
      </w:r>
      <w:r w:rsidR="002F285D">
        <w:t xml:space="preserve">he </w:t>
      </w:r>
      <w:r w:rsidR="00DB0069">
        <w:t xml:space="preserve">Covered </w:t>
      </w:r>
      <w:r w:rsidR="002F285D">
        <w:t>Group sources its revenue between jurisdictions based on various sourcing rules that apply to different types of revenue.</w:t>
      </w:r>
      <w:r w:rsidR="00B87482">
        <w:rPr>
          <w:rStyle w:val="FootnoteReference"/>
        </w:rPr>
        <w:footnoteReference w:id="113"/>
      </w:r>
      <w:r w:rsidR="002F285D">
        <w:t xml:space="preserve">  </w:t>
      </w:r>
    </w:p>
    <w:p w14:paraId="7A67BD24" w14:textId="77777777" w:rsidR="002F285D" w:rsidRDefault="002F285D" w:rsidP="002F285D">
      <w:pPr>
        <w:jc w:val="both"/>
      </w:pPr>
    </w:p>
    <w:p w14:paraId="78D00463" w14:textId="380F5887" w:rsidR="002F285D" w:rsidRDefault="00B75835" w:rsidP="00B75835">
      <w:pPr>
        <w:pStyle w:val="ListParagraph"/>
        <w:numPr>
          <w:ilvl w:val="0"/>
          <w:numId w:val="15"/>
        </w:numPr>
        <w:jc w:val="both"/>
      </w:pPr>
      <w:r>
        <w:t>T</w:t>
      </w:r>
      <w:r w:rsidR="002F285D">
        <w:t xml:space="preserve">he </w:t>
      </w:r>
      <w:r w:rsidR="00DB0069">
        <w:t>Covered</w:t>
      </w:r>
      <w:r w:rsidR="002F285D">
        <w:t xml:space="preserve"> Group calculates its adjusted profits before tax which is the </w:t>
      </w:r>
      <w:r w:rsidR="00DB0069">
        <w:t>Covered</w:t>
      </w:r>
      <w:r w:rsidR="002F285D">
        <w:t xml:space="preserve"> Group</w:t>
      </w:r>
      <w:r w:rsidR="00DB0069">
        <w:t>’</w:t>
      </w:r>
      <w:r w:rsidR="002F285D">
        <w:t xml:space="preserve">s financial accounting profit (or loss) reported on its financial statements and then adjusted under </w:t>
      </w:r>
      <w:r w:rsidR="00DB0069">
        <w:t xml:space="preserve">Annex B of the Pillar I </w:t>
      </w:r>
      <w:r w:rsidR="00AF2EC5">
        <w:t>Multilateral Convention</w:t>
      </w:r>
      <w:r w:rsidR="00DB0069">
        <w:t>.</w:t>
      </w:r>
      <w:r w:rsidR="00DB0069">
        <w:rPr>
          <w:rStyle w:val="FootnoteReference"/>
        </w:rPr>
        <w:footnoteReference w:id="114"/>
      </w:r>
    </w:p>
    <w:p w14:paraId="5F4542F9" w14:textId="77777777" w:rsidR="002F285D" w:rsidRDefault="002F285D" w:rsidP="002F285D">
      <w:pPr>
        <w:jc w:val="both"/>
      </w:pPr>
    </w:p>
    <w:p w14:paraId="7F2731C8" w14:textId="5E09D8F7" w:rsidR="002F285D" w:rsidRDefault="00B75835" w:rsidP="00B75835">
      <w:pPr>
        <w:pStyle w:val="ListParagraph"/>
        <w:numPr>
          <w:ilvl w:val="0"/>
          <w:numId w:val="15"/>
        </w:numPr>
        <w:jc w:val="both"/>
      </w:pPr>
      <w:r>
        <w:t>T</w:t>
      </w:r>
      <w:r w:rsidR="00DB0069">
        <w:t>he Covered</w:t>
      </w:r>
      <w:r w:rsidR="002F285D">
        <w:t xml:space="preserve"> Group’s profits above a 10% profitability threshold are multiplied by 25%.</w:t>
      </w:r>
      <w:r w:rsidR="00DB0069">
        <w:rPr>
          <w:rStyle w:val="FootnoteReference"/>
        </w:rPr>
        <w:footnoteReference w:id="115"/>
      </w:r>
      <w:r w:rsidR="002F285D">
        <w:t xml:space="preserve">  The product is the</w:t>
      </w:r>
      <w:r w:rsidR="00DB0069">
        <w:t xml:space="preserve"> “Amount A Profit,”</w:t>
      </w:r>
      <w:r w:rsidR="002F285D">
        <w:t xml:space="preserve"> </w:t>
      </w:r>
      <w:r w:rsidR="00DB0069">
        <w:t xml:space="preserve">which is the </w:t>
      </w:r>
      <w:r w:rsidR="002F285D">
        <w:t xml:space="preserve">portion of the </w:t>
      </w:r>
      <w:r w:rsidR="00DB0069">
        <w:t>Covered</w:t>
      </w:r>
      <w:r w:rsidR="002F285D">
        <w:t xml:space="preserve"> Group</w:t>
      </w:r>
      <w:r w:rsidR="00DB0069">
        <w:t>’</w:t>
      </w:r>
      <w:r w:rsidR="002F285D">
        <w:t xml:space="preserve">s profits that are apportioned between market jurisdictions.  The numerator of the apportionment fraction for each jurisdiction is the revenue sourced to the jurisdiction and the denominator is the total revenue of the </w:t>
      </w:r>
      <w:r w:rsidR="00DB0069">
        <w:t>Covered</w:t>
      </w:r>
      <w:r w:rsidR="002F285D">
        <w:t xml:space="preserve"> Group.</w:t>
      </w:r>
      <w:r>
        <w:rPr>
          <w:rStyle w:val="FootnoteReference"/>
        </w:rPr>
        <w:footnoteReference w:id="116"/>
      </w:r>
      <w:r w:rsidR="002F285D">
        <w:t xml:space="preserve"> </w:t>
      </w:r>
    </w:p>
    <w:p w14:paraId="1DADB201" w14:textId="77777777" w:rsidR="002F285D" w:rsidRDefault="002F285D" w:rsidP="002F285D">
      <w:pPr>
        <w:jc w:val="both"/>
      </w:pPr>
    </w:p>
    <w:p w14:paraId="2B929D04" w14:textId="71EE93EF" w:rsidR="00C86475" w:rsidRDefault="00FA32F5" w:rsidP="002F285D">
      <w:pPr>
        <w:jc w:val="both"/>
      </w:pPr>
      <w:r>
        <w:t>The hard(er) part comes after the apportionment of Amount A Profit</w:t>
      </w:r>
      <w:r w:rsidR="00FC552E">
        <w:t>, when the jurisdictions from which Amount A is apportioned must be determined</w:t>
      </w:r>
      <w:r>
        <w:t>.</w:t>
      </w:r>
      <w:r w:rsidR="00CC6C84">
        <w:rPr>
          <w:rStyle w:val="FootnoteReference"/>
        </w:rPr>
        <w:footnoteReference w:id="117"/>
      </w:r>
      <w:r>
        <w:t xml:space="preserve">  </w:t>
      </w:r>
      <w:r w:rsidR="00C86475">
        <w:t xml:space="preserve">Those jurisdictions must </w:t>
      </w:r>
      <w:r w:rsidR="00CC6C84">
        <w:t xml:space="preserve">correct for the double taxation that occurs under Amount A (when both they and the market jurisdictions to which Amount A is allocated tax the same income) either through a refund, </w:t>
      </w:r>
      <w:r w:rsidR="00E72E89">
        <w:t xml:space="preserve">a </w:t>
      </w:r>
      <w:r w:rsidR="00CC6C84">
        <w:t>refundable credit, a credit</w:t>
      </w:r>
      <w:r w:rsidR="00E72E89">
        <w:t>,</w:t>
      </w:r>
      <w:r w:rsidR="00CC6C84">
        <w:t xml:space="preserve"> or a deduction.</w:t>
      </w:r>
      <w:r w:rsidR="00CC6C84">
        <w:rPr>
          <w:rStyle w:val="FootnoteReference"/>
        </w:rPr>
        <w:footnoteReference w:id="118"/>
      </w:r>
      <w:r w:rsidR="00CC6C84">
        <w:t xml:space="preserve"> </w:t>
      </w:r>
      <w:r w:rsidR="00C86475">
        <w:t xml:space="preserve"> </w:t>
      </w:r>
    </w:p>
    <w:p w14:paraId="329E7553" w14:textId="77777777" w:rsidR="00C86475" w:rsidRDefault="00C86475" w:rsidP="002F285D">
      <w:pPr>
        <w:jc w:val="both"/>
      </w:pPr>
    </w:p>
    <w:p w14:paraId="0407C6F3" w14:textId="45A6C476" w:rsidR="002F285D" w:rsidRDefault="002F285D" w:rsidP="002F285D">
      <w:pPr>
        <w:jc w:val="both"/>
      </w:pPr>
      <w:r>
        <w:t xml:space="preserve">The thematic connection between Amount </w:t>
      </w:r>
      <w:r w:rsidR="00B75835">
        <w:t xml:space="preserve">A </w:t>
      </w:r>
      <w:r>
        <w:t>and DSTs is that both reflect countries’ dissatisfaction with their tax base</w:t>
      </w:r>
      <w:r w:rsidR="00E72E89">
        <w:t>s</w:t>
      </w:r>
      <w:r>
        <w:t xml:space="preserve"> under the current PE </w:t>
      </w:r>
      <w:r w:rsidR="00B75835">
        <w:t>Requirement</w:t>
      </w:r>
      <w:r w:rsidR="00B21C11">
        <w:t>.  Pillar I began</w:t>
      </w:r>
      <w:r>
        <w:t xml:space="preserve"> with digital services (in the form of DSTs), then expanded to include consumer facing businesses (under the </w:t>
      </w:r>
      <w:r w:rsidR="00BD59BF">
        <w:t>Pillar I</w:t>
      </w:r>
      <w:r>
        <w:t xml:space="preserve"> Blueprint)</w:t>
      </w:r>
      <w:r w:rsidR="00E72E89">
        <w:t>,</w:t>
      </w:r>
      <w:r>
        <w:t xml:space="preserve"> and now has expanded to reflect market jurisdictions</w:t>
      </w:r>
      <w:r w:rsidR="005C351C">
        <w:t>’</w:t>
      </w:r>
      <w:r>
        <w:t xml:space="preserve"> insistence on receiving a larger piece of the t</w:t>
      </w:r>
      <w:r w:rsidR="005C351C">
        <w:t>ax</w:t>
      </w:r>
      <w:r w:rsidR="00E72E89">
        <w:t>-</w:t>
      </w:r>
      <w:r w:rsidR="005C351C">
        <w:t>base</w:t>
      </w:r>
      <w:r>
        <w:t xml:space="preserve"> pie with respect</w:t>
      </w:r>
      <w:r w:rsidR="005C351C">
        <w:t xml:space="preserve"> to all large multinationals.  </w:t>
      </w:r>
      <w:r>
        <w:t xml:space="preserve">As with </w:t>
      </w:r>
      <w:r w:rsidR="00E72E89">
        <w:t xml:space="preserve">the </w:t>
      </w:r>
      <w:r>
        <w:t>DPT, the fundamental interest, with respect to DST</w:t>
      </w:r>
      <w:r w:rsidR="00E72E89">
        <w:t>s</w:t>
      </w:r>
      <w:r>
        <w:t xml:space="preserve"> and Amount A, is not combating tax avoidance, but rather renegotiating the historic</w:t>
      </w:r>
      <w:r w:rsidR="00A641D1">
        <w:t>al</w:t>
      </w:r>
      <w:r>
        <w:t xml:space="preserve"> nexus compromise for source jurisdictions</w:t>
      </w:r>
      <w:r w:rsidR="0005769E">
        <w:t xml:space="preserve"> to</w:t>
      </w:r>
      <w:r>
        <w:t xml:space="preserve"> access income that treaty arrangements would </w:t>
      </w:r>
      <w:r w:rsidR="00954A26">
        <w:t xml:space="preserve">have </w:t>
      </w:r>
      <w:r>
        <w:t>otherwise allocate</w:t>
      </w:r>
      <w:r w:rsidR="00954A26">
        <w:t>d</w:t>
      </w:r>
      <w:r>
        <w:t xml:space="preserve"> to residence jurisdictions</w:t>
      </w:r>
      <w:r w:rsidR="00954A26">
        <w:t xml:space="preserve"> and to more broadly align the determination of source with</w:t>
      </w:r>
      <w:r w:rsidR="0005769E">
        <w:t xml:space="preserve"> the</w:t>
      </w:r>
      <w:r w:rsidR="00954A26">
        <w:t xml:space="preserve"> location of the market</w:t>
      </w:r>
      <w:r>
        <w:t xml:space="preserve">.  </w:t>
      </w:r>
      <w:r w:rsidR="00B21C11">
        <w:t xml:space="preserve">The interesting part of the renegotiation is that there is no </w:t>
      </w:r>
      <w:r w:rsidR="004205CE">
        <w:t xml:space="preserve">concession to residence countries on the permanent establishment side, but that makes sense for two reasons.  First, Pillar I mixes concepts of source, with Covered Groups </w:t>
      </w:r>
      <w:r w:rsidR="00D16152">
        <w:t xml:space="preserve">determining source with respect 75% of their profits over the profitability threshold based on relevant countries’ (and their treaties’) sourcing rules and sourcing their Amount A Profit by place of market.  Thus, income sourced to a country may still be included in Amount A. </w:t>
      </w:r>
      <w:r w:rsidR="000A33FF">
        <w:t xml:space="preserve"> Second, Pillar I is not necessarily principle driven</w:t>
      </w:r>
      <w:r w:rsidR="00A42406">
        <w:t>, it being a negotiated agreement between parties</w:t>
      </w:r>
      <w:r w:rsidR="000A33FF">
        <w:t xml:space="preserve">.  </w:t>
      </w:r>
    </w:p>
    <w:p w14:paraId="39680AEE" w14:textId="77777777" w:rsidR="00146465" w:rsidRDefault="00146465" w:rsidP="00146465">
      <w:pPr>
        <w:pStyle w:val="Heading2"/>
      </w:pPr>
      <w:r>
        <w:t>Pillar II and UTPR</w:t>
      </w:r>
    </w:p>
    <w:p w14:paraId="67781E35" w14:textId="77777777" w:rsidR="00146465" w:rsidRDefault="00146465" w:rsidP="002F285D">
      <w:pPr>
        <w:jc w:val="both"/>
      </w:pPr>
    </w:p>
    <w:p w14:paraId="062BB79E" w14:textId="29CBADCC" w:rsidR="002F285D" w:rsidRDefault="002F285D" w:rsidP="005A2D0C">
      <w:pPr>
        <w:jc w:val="both"/>
      </w:pPr>
      <w:r>
        <w:t xml:space="preserve">Finally, the Treaty Avoidance Regime most disconnected from anti-abuse and most focused on opportunities to expand </w:t>
      </w:r>
      <w:r w:rsidR="0005769E">
        <w:t xml:space="preserve">countries’ </w:t>
      </w:r>
      <w:r>
        <w:t>tax base</w:t>
      </w:r>
      <w:r w:rsidR="0005769E">
        <w:t>s</w:t>
      </w:r>
      <w:r>
        <w:t xml:space="preserve"> is UTPR, the discussion of which requires a bit of </w:t>
      </w:r>
      <w:r>
        <w:lastRenderedPageBreak/>
        <w:t xml:space="preserve">background.  UTPR, in its current form, is one of </w:t>
      </w:r>
      <w:r w:rsidR="0031700A">
        <w:t xml:space="preserve">two </w:t>
      </w:r>
      <w:r>
        <w:t xml:space="preserve">charging provisions under Pillar II that together seek to implement a world-wide 15% minimum tax through the mechanism of a jurisdiction-by-jurisdiction </w:t>
      </w:r>
      <w:r w:rsidR="005C631E">
        <w:t>“</w:t>
      </w:r>
      <w:r>
        <w:t>Top-Up Tax.</w:t>
      </w:r>
      <w:r w:rsidR="005C631E">
        <w:t>”</w:t>
      </w:r>
      <w:r>
        <w:t xml:space="preserve">  </w:t>
      </w:r>
      <w:r w:rsidR="006460CE">
        <w:t xml:space="preserve">Generally, </w:t>
      </w:r>
      <w:r w:rsidR="005A2D0C">
        <w:t>Pillar II</w:t>
      </w:r>
      <w:r w:rsidR="006460CE">
        <w:t>’s Top-Up Tax Rules apply</w:t>
      </w:r>
      <w:r w:rsidR="005A2D0C">
        <w:t xml:space="preserve"> to “MNE Groups” that have annual revenue of EUR 750 million or more in the</w:t>
      </w:r>
      <w:r w:rsidR="006460CE">
        <w:t>ir</w:t>
      </w:r>
      <w:r w:rsidR="005A2D0C">
        <w:t xml:space="preserve"> consolidated financial statements</w:t>
      </w:r>
      <w:r w:rsidR="006460CE">
        <w:t>.</w:t>
      </w:r>
      <w:r w:rsidR="006460CE">
        <w:rPr>
          <w:rStyle w:val="FootnoteReference"/>
        </w:rPr>
        <w:footnoteReference w:id="119"/>
      </w:r>
      <w:r w:rsidR="006460CE">
        <w:t xml:space="preserve">  </w:t>
      </w:r>
      <w:r w:rsidR="00433DD2">
        <w:t>In general, t</w:t>
      </w:r>
      <w:r>
        <w:t xml:space="preserve">he Top-Up Tax for a jurisdiction is determined by applying the following steps outlined in the </w:t>
      </w:r>
      <w:r w:rsidR="00CE6751">
        <w:t xml:space="preserve">Pillar II Model </w:t>
      </w:r>
      <w:r>
        <w:t>Rules</w:t>
      </w:r>
      <w:r w:rsidR="00F02FD5">
        <w:t xml:space="preserve"> </w:t>
      </w:r>
      <w:r w:rsidR="00F02FD5" w:rsidRPr="008E7351">
        <w:t xml:space="preserve">(also referred to as the “Global </w:t>
      </w:r>
      <w:r w:rsidR="00F02FD5">
        <w:t>Anti-</w:t>
      </w:r>
      <w:r w:rsidR="00F02FD5" w:rsidRPr="008E7351">
        <w:t>Base Erosion” or “GloBE” rules)</w:t>
      </w:r>
      <w:r>
        <w:t>.</w:t>
      </w:r>
    </w:p>
    <w:p w14:paraId="562FCC23" w14:textId="77777777" w:rsidR="002F285D" w:rsidRDefault="002F285D" w:rsidP="002F285D">
      <w:pPr>
        <w:jc w:val="both"/>
      </w:pPr>
    </w:p>
    <w:p w14:paraId="02B74D36" w14:textId="77777777" w:rsidR="002F285D" w:rsidRDefault="002F285D" w:rsidP="00E85850">
      <w:pPr>
        <w:pStyle w:val="ListParagraph"/>
        <w:numPr>
          <w:ilvl w:val="0"/>
          <w:numId w:val="18"/>
        </w:numPr>
        <w:jc w:val="both"/>
      </w:pPr>
      <w:r>
        <w:t xml:space="preserve">The MNE Group determines its </w:t>
      </w:r>
      <w:r w:rsidR="00433DD2">
        <w:t>“</w:t>
      </w:r>
      <w:r>
        <w:t>Net GloBE Income</w:t>
      </w:r>
      <w:r w:rsidR="00433DD2">
        <w:t>”</w:t>
      </w:r>
      <w:r>
        <w:t xml:space="preserve"> for a jurisdiction in which it has a constituent entity.</w:t>
      </w:r>
      <w:r w:rsidR="00433DD2">
        <w:rPr>
          <w:rStyle w:val="FootnoteReference"/>
        </w:rPr>
        <w:footnoteReference w:id="120"/>
      </w:r>
      <w:r>
        <w:t xml:space="preserve"> </w:t>
      </w:r>
    </w:p>
    <w:p w14:paraId="4D19B2B6" w14:textId="77777777" w:rsidR="00E85850" w:rsidRDefault="00E85850" w:rsidP="002F285D">
      <w:pPr>
        <w:jc w:val="both"/>
      </w:pPr>
    </w:p>
    <w:p w14:paraId="6DE9BC65" w14:textId="4FC013CA" w:rsidR="002F285D" w:rsidRDefault="002F285D" w:rsidP="00E85850">
      <w:pPr>
        <w:pStyle w:val="ListParagraph"/>
        <w:numPr>
          <w:ilvl w:val="0"/>
          <w:numId w:val="18"/>
        </w:numPr>
        <w:jc w:val="both"/>
      </w:pPr>
      <w:r>
        <w:t>The MNE Group determine</w:t>
      </w:r>
      <w:r w:rsidR="0005769E">
        <w:t>s</w:t>
      </w:r>
      <w:r>
        <w:t xml:space="preserve"> the </w:t>
      </w:r>
      <w:r w:rsidR="00433DD2">
        <w:t xml:space="preserve">“Adjusted </w:t>
      </w:r>
      <w:r>
        <w:t>Covered Tax</w:t>
      </w:r>
      <w:r w:rsidR="00433DD2">
        <w:t>”</w:t>
      </w:r>
      <w:r>
        <w:t xml:space="preserve"> for the jurisdiction.</w:t>
      </w:r>
      <w:r w:rsidR="00433DD2">
        <w:rPr>
          <w:rStyle w:val="FootnoteReference"/>
        </w:rPr>
        <w:footnoteReference w:id="121"/>
      </w:r>
    </w:p>
    <w:p w14:paraId="3AED5C16" w14:textId="77777777" w:rsidR="00E85850" w:rsidRDefault="00E85850" w:rsidP="002F285D">
      <w:pPr>
        <w:jc w:val="both"/>
      </w:pPr>
    </w:p>
    <w:p w14:paraId="5BD18C72" w14:textId="76F0AF06" w:rsidR="0005769E" w:rsidRDefault="002F285D" w:rsidP="0005769E">
      <w:pPr>
        <w:pStyle w:val="ListParagraph"/>
        <w:numPr>
          <w:ilvl w:val="0"/>
          <w:numId w:val="18"/>
        </w:numPr>
        <w:jc w:val="both"/>
      </w:pPr>
      <w:r>
        <w:t xml:space="preserve">The MNE Group computes the jurisdiction’s </w:t>
      </w:r>
      <w:r w:rsidR="00433DD2">
        <w:t>“</w:t>
      </w:r>
      <w:r>
        <w:t>Effective Tax Rate,</w:t>
      </w:r>
      <w:r w:rsidR="00433DD2">
        <w:t>”</w:t>
      </w:r>
      <w:r>
        <w:t xml:space="preserve"> which is the percentage determined by dividing Covered Tax by Net GloBE Income.</w:t>
      </w:r>
      <w:r w:rsidR="00433DD2">
        <w:rPr>
          <w:rStyle w:val="FootnoteReference"/>
        </w:rPr>
        <w:footnoteReference w:id="122"/>
      </w:r>
    </w:p>
    <w:p w14:paraId="4CA87813" w14:textId="77777777" w:rsidR="0005769E" w:rsidRDefault="0005769E" w:rsidP="009D1963">
      <w:pPr>
        <w:jc w:val="both"/>
      </w:pPr>
    </w:p>
    <w:p w14:paraId="7BF0DD1D" w14:textId="77777777" w:rsidR="002F285D" w:rsidRDefault="002F285D" w:rsidP="00E85850">
      <w:pPr>
        <w:pStyle w:val="ListParagraph"/>
        <w:numPr>
          <w:ilvl w:val="0"/>
          <w:numId w:val="18"/>
        </w:numPr>
        <w:jc w:val="both"/>
      </w:pPr>
      <w:r>
        <w:t xml:space="preserve">The MNE Group computes the jurisdiction’s </w:t>
      </w:r>
      <w:r w:rsidR="00433DD2">
        <w:t>“</w:t>
      </w:r>
      <w:r>
        <w:t>Top-Up Tax Percentage,</w:t>
      </w:r>
      <w:r w:rsidR="00433DD2">
        <w:t>”</w:t>
      </w:r>
      <w:r>
        <w:t xml:space="preserve"> which is 15% minus the jurisdiction’s </w:t>
      </w:r>
      <w:r w:rsidR="00433DD2">
        <w:t>Effective Tax Rate</w:t>
      </w:r>
      <w:r>
        <w:t>.</w:t>
      </w:r>
      <w:r w:rsidR="00433DD2">
        <w:rPr>
          <w:rStyle w:val="FootnoteReference"/>
        </w:rPr>
        <w:footnoteReference w:id="123"/>
      </w:r>
    </w:p>
    <w:p w14:paraId="625FAB2D" w14:textId="77777777" w:rsidR="00E85850" w:rsidRDefault="00E85850" w:rsidP="002F285D">
      <w:pPr>
        <w:jc w:val="both"/>
      </w:pPr>
    </w:p>
    <w:p w14:paraId="0B36D11E" w14:textId="77777777" w:rsidR="002F285D" w:rsidRDefault="002F285D" w:rsidP="00E85850">
      <w:pPr>
        <w:pStyle w:val="ListParagraph"/>
        <w:numPr>
          <w:ilvl w:val="0"/>
          <w:numId w:val="18"/>
        </w:numPr>
        <w:jc w:val="both"/>
      </w:pPr>
      <w:r>
        <w:t xml:space="preserve">The MNE Group computes the jurisdiction’s </w:t>
      </w:r>
      <w:r w:rsidR="00433DD2">
        <w:t>“</w:t>
      </w:r>
      <w:r>
        <w:t>Excess Profit,</w:t>
      </w:r>
      <w:r w:rsidR="00433DD2">
        <w:t>”</w:t>
      </w:r>
      <w:r>
        <w:t xml:space="preserve"> which is the jurisdiction’s Net GloBE Income minus the </w:t>
      </w:r>
      <w:r w:rsidR="00433DD2">
        <w:t>“</w:t>
      </w:r>
      <w:r w:rsidR="001E5061">
        <w:t>Substance-</w:t>
      </w:r>
      <w:r>
        <w:t>based Income E</w:t>
      </w:r>
      <w:r w:rsidR="00433DD2">
        <w:t>xclusion.”</w:t>
      </w:r>
      <w:r w:rsidR="00433DD2">
        <w:rPr>
          <w:rStyle w:val="FootnoteReference"/>
        </w:rPr>
        <w:footnoteReference w:id="124"/>
      </w:r>
      <w:r w:rsidR="001E5061">
        <w:t xml:space="preserve"> </w:t>
      </w:r>
    </w:p>
    <w:p w14:paraId="5101115D" w14:textId="77777777" w:rsidR="00E85850" w:rsidRDefault="00E85850" w:rsidP="002F285D">
      <w:pPr>
        <w:jc w:val="both"/>
      </w:pPr>
    </w:p>
    <w:p w14:paraId="3103EFBB" w14:textId="595ECC7F" w:rsidR="002F285D" w:rsidRDefault="002F285D" w:rsidP="00E85850">
      <w:pPr>
        <w:pStyle w:val="ListParagraph"/>
        <w:numPr>
          <w:ilvl w:val="0"/>
          <w:numId w:val="18"/>
        </w:numPr>
        <w:jc w:val="both"/>
      </w:pPr>
      <w:r>
        <w:t>Finally, the jurisdiction</w:t>
      </w:r>
      <w:r w:rsidR="00237865">
        <w:t>’</w:t>
      </w:r>
      <w:r>
        <w:t>s Top-Up Tax is computed by multiplying the Top-Up Tax Percentage by Excess Profit.</w:t>
      </w:r>
      <w:r w:rsidR="00433DD2">
        <w:rPr>
          <w:rStyle w:val="FootnoteReference"/>
        </w:rPr>
        <w:footnoteReference w:id="125"/>
      </w:r>
      <w:r>
        <w:t xml:space="preserve"> </w:t>
      </w:r>
    </w:p>
    <w:p w14:paraId="7F10B5B1" w14:textId="77777777" w:rsidR="002F285D" w:rsidRDefault="002F285D" w:rsidP="002F285D">
      <w:pPr>
        <w:jc w:val="both"/>
      </w:pPr>
    </w:p>
    <w:p w14:paraId="6F877B82" w14:textId="05D7372A" w:rsidR="00D024B9" w:rsidRDefault="002F285D" w:rsidP="002F285D">
      <w:pPr>
        <w:jc w:val="both"/>
      </w:pPr>
      <w:r>
        <w:t xml:space="preserve">The </w:t>
      </w:r>
      <w:r w:rsidR="001E5061">
        <w:t xml:space="preserve">Pillar II Model Rules and the subsequent commentary and guidance modifying those rules </w:t>
      </w:r>
      <w:r>
        <w:t>are highly complex, with much of the complexity arising with respect to the determination of Net GloBE Income and Covered Tax.  The starting point for these two amounts</w:t>
      </w:r>
      <w:r w:rsidR="001E5061">
        <w:t>,</w:t>
      </w:r>
      <w:r>
        <w:t xml:space="preserve"> generally speaking</w:t>
      </w:r>
      <w:r w:rsidR="001E5061">
        <w:t>, is the</w:t>
      </w:r>
      <w:r>
        <w:t xml:space="preserve"> consolidated</w:t>
      </w:r>
      <w:r w:rsidR="001E5061">
        <w:t xml:space="preserve"> financial statements of the ultimate parent of the MNE Group</w:t>
      </w:r>
      <w:r>
        <w:t>, without the consolidated adjustment that eliminate</w:t>
      </w:r>
      <w:r w:rsidR="00237865">
        <w:t>s</w:t>
      </w:r>
      <w:r>
        <w:t xml:space="preserve"> intra-group transactions.</w:t>
      </w:r>
      <w:r w:rsidR="00971297">
        <w:rPr>
          <w:rStyle w:val="FootnoteReference"/>
        </w:rPr>
        <w:footnoteReference w:id="126"/>
      </w:r>
      <w:r>
        <w:t xml:space="preserve">  The </w:t>
      </w:r>
      <w:r w:rsidR="00971297">
        <w:t>Pillar II Model</w:t>
      </w:r>
      <w:r>
        <w:t xml:space="preserve"> Rules then require an array of adjustments to determine Net GloBE Income and Covered Tax.  For example, </w:t>
      </w:r>
      <w:r>
        <w:lastRenderedPageBreak/>
        <w:t>rules about intercompany financing arrangements are included to prevent shifting income or loss from one jurisdiction to another.</w:t>
      </w:r>
      <w:r w:rsidR="00971297">
        <w:rPr>
          <w:rStyle w:val="FootnoteReference"/>
        </w:rPr>
        <w:footnoteReference w:id="127"/>
      </w:r>
      <w:r>
        <w:t xml:space="preserve">  There is an arm’s length adjustment for intercompany transactions executed at non-arm’s length prices.</w:t>
      </w:r>
      <w:r w:rsidR="00971297">
        <w:rPr>
          <w:rStyle w:val="FootnoteReference"/>
        </w:rPr>
        <w:footnoteReference w:id="128"/>
      </w:r>
      <w:r>
        <w:t xml:space="preserve">  There are numerous adjustments to</w:t>
      </w:r>
      <w:r w:rsidR="00237865">
        <w:t xml:space="preserve"> each</w:t>
      </w:r>
      <w:r>
        <w:t xml:space="preserve"> asset</w:t>
      </w:r>
      <w:r w:rsidR="00237865">
        <w:t>’s</w:t>
      </w:r>
      <w:r>
        <w:t xml:space="preserve"> </w:t>
      </w:r>
      <w:r w:rsidR="00971297">
        <w:t>basis, preventing basis step</w:t>
      </w:r>
      <w:r w:rsidR="0031700A">
        <w:t>-</w:t>
      </w:r>
      <w:r w:rsidR="00971297">
        <w:t>up</w:t>
      </w:r>
      <w:r>
        <w:t>s that</w:t>
      </w:r>
      <w:r w:rsidR="00971297">
        <w:t xml:space="preserve">, according to the drafters of the Pillar II </w:t>
      </w:r>
      <w:r w:rsidR="00237865">
        <w:t>M</w:t>
      </w:r>
      <w:r w:rsidR="00971297">
        <w:t>odel</w:t>
      </w:r>
      <w:r>
        <w:t xml:space="preserve"> Rules</w:t>
      </w:r>
      <w:r w:rsidR="00971297">
        <w:t>,</w:t>
      </w:r>
      <w:r>
        <w:t xml:space="preserve"> would inappropriately reduce Net GloBE Income.</w:t>
      </w:r>
      <w:r w:rsidR="00971297">
        <w:rPr>
          <w:rStyle w:val="FootnoteReference"/>
        </w:rPr>
        <w:footnoteReference w:id="129"/>
      </w:r>
      <w:r>
        <w:t xml:space="preserve">  There are rul</w:t>
      </w:r>
      <w:r w:rsidR="00971297">
        <w:t>es for allocating income from permanent establishments,</w:t>
      </w:r>
      <w:r>
        <w:t xml:space="preserve"> flow-through entities</w:t>
      </w:r>
      <w:r w:rsidR="00237865">
        <w:t>,</w:t>
      </w:r>
      <w:r w:rsidR="00971297">
        <w:t xml:space="preserve"> and </w:t>
      </w:r>
      <w:r w:rsidR="00DF6DDA">
        <w:t xml:space="preserve">controlled foreign corporations (“CFCs”) </w:t>
      </w:r>
      <w:r>
        <w:t>to parent entities, and an array of other adjustments to translate separate entity financial accounting income into the Net GloBE Income of a constituent entity.</w:t>
      </w:r>
      <w:r w:rsidR="00FB3AB2">
        <w:rPr>
          <w:rStyle w:val="FootnoteReference"/>
        </w:rPr>
        <w:footnoteReference w:id="130"/>
      </w:r>
      <w:r>
        <w:t xml:space="preserve">  There are just as many complexities in determining a constituent entity’s Covered Tax, exacerbated by the fact that deferred tax</w:t>
      </w:r>
      <w:r w:rsidR="00971297">
        <w:t>es are</w:t>
      </w:r>
      <w:r>
        <w:t xml:space="preserve"> taken into account.</w:t>
      </w:r>
      <w:r w:rsidR="00971297">
        <w:rPr>
          <w:rStyle w:val="FootnoteReference"/>
        </w:rPr>
        <w:footnoteReference w:id="131"/>
      </w:r>
      <w:r>
        <w:t xml:space="preserve">  This requires an array of adjustments to a constituent entity’s current </w:t>
      </w:r>
      <w:r w:rsidR="00237865">
        <w:t xml:space="preserve">and </w:t>
      </w:r>
      <w:r>
        <w:t>deferred tax</w:t>
      </w:r>
      <w:r w:rsidR="00D024B9">
        <w:t>es</w:t>
      </w:r>
      <w:r>
        <w:t>.</w:t>
      </w:r>
      <w:r w:rsidR="00D024B9" w:rsidRPr="00D024B9">
        <w:t xml:space="preserve"> </w:t>
      </w:r>
      <w:r w:rsidR="00D024B9">
        <w:t xml:space="preserve"> Rules apply to determine whether certain deferred tax assets and liabilities are counted, when they are not counted,</w:t>
      </w:r>
      <w:r w:rsidR="00D024B9">
        <w:rPr>
          <w:rStyle w:val="FootnoteReference"/>
        </w:rPr>
        <w:footnoteReference w:id="132"/>
      </w:r>
      <w:r w:rsidR="00D024B9">
        <w:t xml:space="preserve"> to what extent they are counted,</w:t>
      </w:r>
      <w:r w:rsidR="00D024B9">
        <w:rPr>
          <w:rStyle w:val="FootnoteReference"/>
        </w:rPr>
        <w:footnoteReference w:id="133"/>
      </w:r>
      <w:r w:rsidR="00D024B9">
        <w:t xml:space="preserve"> and when they are initially counted but then are not counted anymore.</w:t>
      </w:r>
      <w:r w:rsidR="00D024B9">
        <w:rPr>
          <w:rStyle w:val="FootnoteReference"/>
        </w:rPr>
        <w:footnoteReference w:id="134"/>
      </w:r>
      <w:r>
        <w:t xml:space="preserve">  </w:t>
      </w:r>
    </w:p>
    <w:p w14:paraId="69FF2884" w14:textId="77777777" w:rsidR="00D024B9" w:rsidRDefault="00D024B9" w:rsidP="002F285D">
      <w:pPr>
        <w:jc w:val="both"/>
      </w:pPr>
    </w:p>
    <w:p w14:paraId="3F17428F" w14:textId="4771FAC9" w:rsidR="002F285D" w:rsidRDefault="002F285D" w:rsidP="002F285D">
      <w:pPr>
        <w:jc w:val="both"/>
      </w:pPr>
      <w:r>
        <w:t>A major point of contention currently exists over the treatment of tax credits.  Initially, tax credits were treated as a reduction to tax, even if they were not so treated for the relevant f</w:t>
      </w:r>
      <w:r w:rsidR="00971297">
        <w:t>inancial accounting purposes, unless</w:t>
      </w:r>
      <w:r>
        <w:t xml:space="preserve"> they were refundable credits.</w:t>
      </w:r>
      <w:r w:rsidR="00FB3AB2">
        <w:rPr>
          <w:rStyle w:val="FootnoteReference"/>
        </w:rPr>
        <w:footnoteReference w:id="135"/>
      </w:r>
      <w:r>
        <w:t xml:space="preserve"> </w:t>
      </w:r>
      <w:r w:rsidR="0088504C">
        <w:t xml:space="preserve"> </w:t>
      </w:r>
      <w:r>
        <w:t xml:space="preserve">Then, </w:t>
      </w:r>
      <w:r w:rsidR="00971297">
        <w:t>a narrow</w:t>
      </w:r>
      <w:r>
        <w:t xml:space="preserve"> exception </w:t>
      </w:r>
      <w:r w:rsidR="00971297">
        <w:t xml:space="preserve">was introduced </w:t>
      </w:r>
      <w:r>
        <w:t>for nonre</w:t>
      </w:r>
      <w:r w:rsidR="00971297">
        <w:t>fundable credits acquired through</w:t>
      </w:r>
      <w:r>
        <w:t xml:space="preserve"> tax equity investment</w:t>
      </w:r>
      <w:r w:rsidR="00971297">
        <w:t>s.</w:t>
      </w:r>
      <w:bookmarkStart w:id="8" w:name="_Ref149430362"/>
      <w:r w:rsidR="00FB3AB2">
        <w:rPr>
          <w:rStyle w:val="FootnoteReference"/>
        </w:rPr>
        <w:footnoteReference w:id="136"/>
      </w:r>
      <w:bookmarkEnd w:id="8"/>
      <w:r w:rsidR="00971297">
        <w:t xml:space="preserve">  Now</w:t>
      </w:r>
      <w:r>
        <w:t xml:space="preserve">, </w:t>
      </w:r>
      <w:r w:rsidR="00971297">
        <w:t xml:space="preserve">tax credits that are </w:t>
      </w:r>
      <w:r>
        <w:t xml:space="preserve">marketable </w:t>
      </w:r>
      <w:r w:rsidR="00971297">
        <w:t xml:space="preserve">and </w:t>
      </w:r>
      <w:r>
        <w:t xml:space="preserve">transferrable </w:t>
      </w:r>
      <w:r w:rsidR="00F2397B">
        <w:t xml:space="preserve">also </w:t>
      </w:r>
      <w:r>
        <w:t>do not reduce Covered Tax (and instead are treated as income).</w:t>
      </w:r>
      <w:bookmarkStart w:id="9" w:name="_Ref149430213"/>
      <w:r w:rsidR="0088504C">
        <w:rPr>
          <w:rStyle w:val="FootnoteReference"/>
        </w:rPr>
        <w:footnoteReference w:id="137"/>
      </w:r>
      <w:bookmarkEnd w:id="9"/>
      <w:r>
        <w:t xml:space="preserve">  There are rules for allocating Covered Taxes imposed on a parent entity to its subsidiary when the Covered Taxes are the result of </w:t>
      </w:r>
      <w:r w:rsidR="00D024B9">
        <w:t xml:space="preserve">income from </w:t>
      </w:r>
      <w:r w:rsidR="00F2397B">
        <w:t>a</w:t>
      </w:r>
      <w:r>
        <w:t xml:space="preserve"> CFC </w:t>
      </w:r>
      <w:r w:rsidR="00D024B9">
        <w:t>r</w:t>
      </w:r>
      <w:r>
        <w:t>egime.</w:t>
      </w:r>
      <w:r w:rsidR="00D81130">
        <w:rPr>
          <w:rStyle w:val="FootnoteReference"/>
        </w:rPr>
        <w:footnoteReference w:id="138"/>
      </w:r>
      <w:r>
        <w:t xml:space="preserve">  </w:t>
      </w:r>
      <w:r w:rsidR="0031700A">
        <w:t xml:space="preserve">Very little </w:t>
      </w:r>
      <w:r>
        <w:t>guidance is provided for how to make these allocations.</w:t>
      </w:r>
      <w:r w:rsidR="00D81130">
        <w:rPr>
          <w:rStyle w:val="FootnoteReference"/>
        </w:rPr>
        <w:footnoteReference w:id="139"/>
      </w:r>
      <w:r>
        <w:t xml:space="preserve">  </w:t>
      </w:r>
    </w:p>
    <w:p w14:paraId="7A613A24" w14:textId="77777777" w:rsidR="002F285D" w:rsidRDefault="002F285D" w:rsidP="002F285D">
      <w:pPr>
        <w:jc w:val="both"/>
      </w:pPr>
    </w:p>
    <w:p w14:paraId="7F00813E" w14:textId="61822738" w:rsidR="002F285D" w:rsidRDefault="002F285D" w:rsidP="002F285D">
      <w:pPr>
        <w:jc w:val="both"/>
      </w:pPr>
      <w:r>
        <w:t xml:space="preserve">In its current form, Pillar II has </w:t>
      </w:r>
      <w:r w:rsidR="00975DE4">
        <w:t xml:space="preserve">two </w:t>
      </w:r>
      <w:r>
        <w:t>charging provisions: an “Income Inclusion Rule</w:t>
      </w:r>
      <w:r w:rsidR="00975DE4">
        <w:t>,</w:t>
      </w:r>
      <w:r>
        <w:t>” or “IIR</w:t>
      </w:r>
      <w:r w:rsidR="00975DE4">
        <w:t xml:space="preserve">,” and </w:t>
      </w:r>
      <w:r>
        <w:t>a “UTPR” (not an acronym for anything)</w:t>
      </w:r>
      <w:r w:rsidR="00975DE4">
        <w:t>.  A</w:t>
      </w:r>
      <w:r>
        <w:t xml:space="preserve"> “Qualified Domestic Minimum Top-</w:t>
      </w:r>
      <w:r w:rsidR="00075338">
        <w:t>U</w:t>
      </w:r>
      <w:r>
        <w:t>p Tax</w:t>
      </w:r>
      <w:r w:rsidR="00975DE4">
        <w:t>,</w:t>
      </w:r>
      <w:r>
        <w:t>” or “QDMTT</w:t>
      </w:r>
      <w:r w:rsidR="00975DE4">
        <w:t>,</w:t>
      </w:r>
      <w:r>
        <w:t>”</w:t>
      </w:r>
      <w:r w:rsidR="00975DE4">
        <w:t xml:space="preserve"> is a third Top-Up Tax that reduces any liability that would otherwise be imposed </w:t>
      </w:r>
      <w:r w:rsidR="00975DE4">
        <w:lastRenderedPageBreak/>
        <w:t>under an IIR or UTPR.</w:t>
      </w:r>
      <w:r>
        <w:t xml:space="preserve">  A jurisdiction has the first opportunity to </w:t>
      </w:r>
      <w:r w:rsidR="00BD2CB6">
        <w:t xml:space="preserve">tax low-taxed income under a </w:t>
      </w:r>
      <w:r>
        <w:t>Top-Up Tax through the implementation of a QDMTT.  If the jurisdiction has no QDMTT or the Q</w:t>
      </w:r>
      <w:r w:rsidR="0069002B">
        <w:t xml:space="preserve">DMTT </w:t>
      </w:r>
      <w:r w:rsidR="00631F0C">
        <w:t>loses its “qualified” status</w:t>
      </w:r>
      <w:r w:rsidR="0069002B">
        <w:t>, then the ultimate parent e</w:t>
      </w:r>
      <w:r>
        <w:t>ntity</w:t>
      </w:r>
      <w:r w:rsidR="0069002B">
        <w:t xml:space="preserve"> in a jurisdiction</w:t>
      </w:r>
      <w:r>
        <w:t xml:space="preserve"> that has implemented an IIR (or an inter</w:t>
      </w:r>
      <w:r w:rsidR="0069002B">
        <w:t>mediate parent entity if the ultimate parent entity</w:t>
      </w:r>
      <w:r>
        <w:t xml:space="preserve"> has not implemented an IIR) is subject to the</w:t>
      </w:r>
      <w:r w:rsidR="0069002B">
        <w:t xml:space="preserve"> Top-Up Tax.  Finally, if a </w:t>
      </w:r>
      <w:r w:rsidR="00075338">
        <w:t>c</w:t>
      </w:r>
      <w:r w:rsidR="0069002B">
        <w:t xml:space="preserve">onstituent </w:t>
      </w:r>
      <w:r w:rsidR="00075338">
        <w:t>e</w:t>
      </w:r>
      <w:r w:rsidR="0069002B">
        <w:t xml:space="preserve">ntity </w:t>
      </w:r>
      <w:r>
        <w:t xml:space="preserve">in a low-tax jurisdiction is not subject to an IIR, then the jurisdictions that have implemented UTPRs split the </w:t>
      </w:r>
      <w:r w:rsidR="0069002B">
        <w:t>Top-Up Tax among one another, each UTPR jurisdiction imposing</w:t>
      </w:r>
      <w:r>
        <w:t xml:space="preserve"> </w:t>
      </w:r>
      <w:r w:rsidR="0069002B">
        <w:t>its share</w:t>
      </w:r>
      <w:r w:rsidR="00334427">
        <w:t xml:space="preserve"> of the Top-Up tax on</w:t>
      </w:r>
      <w:r w:rsidR="0069002B">
        <w:t xml:space="preserve"> </w:t>
      </w:r>
      <w:r w:rsidR="00075338">
        <w:t>c</w:t>
      </w:r>
      <w:r w:rsidR="0069002B">
        <w:t xml:space="preserve">onstituent </w:t>
      </w:r>
      <w:r w:rsidR="00075338">
        <w:t>e</w:t>
      </w:r>
      <w:r w:rsidR="0069002B">
        <w:t>ntitie</w:t>
      </w:r>
      <w:r>
        <w:t>s</w:t>
      </w:r>
      <w:r w:rsidR="00334427">
        <w:t xml:space="preserve"> in the</w:t>
      </w:r>
      <w:r w:rsidR="005A7AC0">
        <w:t xml:space="preserve"> UTPR</w:t>
      </w:r>
      <w:r w:rsidR="00334427">
        <w:t xml:space="preserve"> jurisdiction</w:t>
      </w:r>
      <w:r>
        <w:t xml:space="preserve">.  </w:t>
      </w:r>
    </w:p>
    <w:p w14:paraId="516B25A1" w14:textId="77777777" w:rsidR="002F285D" w:rsidRDefault="002F285D" w:rsidP="002F285D">
      <w:pPr>
        <w:jc w:val="both"/>
      </w:pPr>
    </w:p>
    <w:p w14:paraId="168F5FF1" w14:textId="225F82DE" w:rsidR="002F285D" w:rsidRDefault="00334427" w:rsidP="002F285D">
      <w:pPr>
        <w:jc w:val="both"/>
      </w:pPr>
      <w:r>
        <w:t xml:space="preserve">It is important to point out that Pillar II did not start out this way and has only </w:t>
      </w:r>
      <w:r w:rsidR="0073195E">
        <w:t xml:space="preserve">evolved into its current form after a number of changes </w:t>
      </w:r>
      <w:r w:rsidR="00075338">
        <w:t>were made to</w:t>
      </w:r>
      <w:r w:rsidR="0073195E">
        <w:t xml:space="preserve"> its original design. </w:t>
      </w:r>
      <w:r>
        <w:t xml:space="preserve"> </w:t>
      </w:r>
      <w:r w:rsidR="002F285D">
        <w:t xml:space="preserve">In the </w:t>
      </w:r>
      <w:r w:rsidR="00075338">
        <w:t xml:space="preserve">OECD’s </w:t>
      </w:r>
      <w:r w:rsidR="002F285D">
        <w:t xml:space="preserve">October 2020 </w:t>
      </w:r>
      <w:r w:rsidR="00BD59BF">
        <w:t xml:space="preserve">Pillar II </w:t>
      </w:r>
      <w:r w:rsidR="002F285D">
        <w:t>Blueprint</w:t>
      </w:r>
      <w:r w:rsidR="00BD59BF">
        <w:t xml:space="preserve"> (the “Pillar II Blueprint”)</w:t>
      </w:r>
      <w:r w:rsidR="002F285D">
        <w:t>,</w:t>
      </w:r>
      <w:r w:rsidR="002F285D">
        <w:rPr>
          <w:rStyle w:val="FootnoteReference"/>
        </w:rPr>
        <w:footnoteReference w:id="140"/>
      </w:r>
      <w:r w:rsidR="002F285D">
        <w:t xml:space="preserve"> Pillar II was described as an IIR with a UTPR “backstop.”</w:t>
      </w:r>
      <w:r w:rsidR="004B0383">
        <w:rPr>
          <w:rStyle w:val="FootnoteReference"/>
        </w:rPr>
        <w:footnoteReference w:id="141"/>
      </w:r>
      <w:r w:rsidR="002F285D">
        <w:t xml:space="preserve">  There was no discussion of a QDMTT, only discussion of a domestic minimum tax using the same base as Top-Up Tax that jurisdictions could apply to deal with UTPR.</w:t>
      </w:r>
      <w:r w:rsidR="004B0383">
        <w:rPr>
          <w:rStyle w:val="FootnoteReference"/>
        </w:rPr>
        <w:footnoteReference w:id="142"/>
      </w:r>
      <w:r w:rsidR="002F285D">
        <w:t xml:space="preserve">  In the</w:t>
      </w:r>
      <w:r w:rsidR="002F285D" w:rsidRPr="009920F0">
        <w:t xml:space="preserve"> </w:t>
      </w:r>
      <w:r w:rsidR="00EF6E6F">
        <w:t>Pillar II</w:t>
      </w:r>
      <w:r w:rsidR="004B0383">
        <w:t xml:space="preserve"> </w:t>
      </w:r>
      <w:r w:rsidR="002F285D">
        <w:t>Blueprint, “UTPR” was an acronym for “undertaxed payment</w:t>
      </w:r>
      <w:r w:rsidR="004B0383">
        <w:t>s</w:t>
      </w:r>
      <w:r w:rsidR="002F285D">
        <w:t xml:space="preserve"> rule” and it applied only to deny deductions or make “equivalent adjustments” with respect to intra-group payments.</w:t>
      </w:r>
      <w:r w:rsidR="004B0383">
        <w:rPr>
          <w:rStyle w:val="FootnoteReference"/>
        </w:rPr>
        <w:footnoteReference w:id="143"/>
      </w:r>
      <w:r w:rsidR="002F285D">
        <w:t xml:space="preserve">  A UTPR jurisdiction would be allocated a portion of the Top-Up Tax only to the extent that it ha</w:t>
      </w:r>
      <w:r w:rsidR="00075338">
        <w:t>d</w:t>
      </w:r>
      <w:r w:rsidR="002F285D">
        <w:t xml:space="preserve"> </w:t>
      </w:r>
      <w:r w:rsidR="00075338">
        <w:t xml:space="preserve">constituent entities </w:t>
      </w:r>
      <w:r w:rsidR="002F285D">
        <w:t xml:space="preserve">that made deductible payments </w:t>
      </w:r>
      <w:r w:rsidR="00075338">
        <w:t xml:space="preserve">to </w:t>
      </w:r>
      <w:r w:rsidR="002F285D">
        <w:t>the low-tax</w:t>
      </w:r>
      <w:r w:rsidR="009E06A4">
        <w:t>ed</w:t>
      </w:r>
      <w:r w:rsidR="002F285D">
        <w:t xml:space="preserve"> </w:t>
      </w:r>
      <w:r w:rsidR="00075338">
        <w:t xml:space="preserve">constituent entities </w:t>
      </w:r>
      <w:r w:rsidR="002F285D">
        <w:t>or to the extent that the jurisdiction did not have net income from intra-group payments.</w:t>
      </w:r>
      <w:r w:rsidR="00B03D71">
        <w:rPr>
          <w:rStyle w:val="FootnoteReference"/>
        </w:rPr>
        <w:footnoteReference w:id="144"/>
      </w:r>
      <w:r w:rsidR="002F285D">
        <w:t xml:space="preserve">  Top-Up Tax would be allocated to UTPR jurisdictions first based on intra-company payments made to low-tax jurisdictions and then based on the relative volume of net deductions from intra-company payments.</w:t>
      </w:r>
      <w:r w:rsidR="00B03D71">
        <w:rPr>
          <w:rStyle w:val="FootnoteReference"/>
        </w:rPr>
        <w:footnoteReference w:id="145"/>
      </w:r>
      <w:r w:rsidR="002F285D">
        <w:t xml:space="preserve">  In that respect, UTPR was “limited in its application to the extent of intra-group payments.”</w:t>
      </w:r>
      <w:r w:rsidR="00B03D71">
        <w:rPr>
          <w:rStyle w:val="FootnoteReference"/>
        </w:rPr>
        <w:footnoteReference w:id="146"/>
      </w:r>
    </w:p>
    <w:p w14:paraId="15605AD9" w14:textId="77777777" w:rsidR="002F285D" w:rsidRDefault="002F285D" w:rsidP="002F285D">
      <w:pPr>
        <w:jc w:val="both"/>
      </w:pPr>
    </w:p>
    <w:p w14:paraId="2C89F673" w14:textId="75B26613" w:rsidR="002F285D" w:rsidRDefault="00F86C5C" w:rsidP="002F285D">
      <w:pPr>
        <w:jc w:val="both"/>
      </w:pPr>
      <w:r>
        <w:t xml:space="preserve">After the </w:t>
      </w:r>
      <w:r w:rsidR="00EF6E6F">
        <w:t>Pillar II</w:t>
      </w:r>
      <w:r>
        <w:t xml:space="preserve"> Blueprint </w:t>
      </w:r>
      <w:r w:rsidR="00A54563">
        <w:t>came the Inclusive Framework’s adoption of the two-pillar solution</w:t>
      </w:r>
      <w:r w:rsidR="00B03D71">
        <w:t xml:space="preserve"> </w:t>
      </w:r>
      <w:r w:rsidR="00A54563">
        <w:t xml:space="preserve">in the </w:t>
      </w:r>
      <w:r w:rsidR="002F285D">
        <w:t>October 2021 Statement</w:t>
      </w:r>
      <w:r w:rsidR="008E1CEA">
        <w:t xml:space="preserve">. </w:t>
      </w:r>
      <w:r w:rsidR="002F285D">
        <w:t xml:space="preserve"> </w:t>
      </w:r>
      <w:r w:rsidR="008E1CEA">
        <w:t xml:space="preserve">The </w:t>
      </w:r>
      <w:r>
        <w:t>October 2021 S</w:t>
      </w:r>
      <w:r w:rsidR="008E1CEA">
        <w:t xml:space="preserve">tatement </w:t>
      </w:r>
      <w:r w:rsidR="002F285D">
        <w:t>contained no indication that the thinking had changed.</w:t>
      </w:r>
      <w:r w:rsidR="00B03D71">
        <w:rPr>
          <w:rStyle w:val="FootnoteReference"/>
        </w:rPr>
        <w:footnoteReference w:id="147"/>
      </w:r>
      <w:r w:rsidR="002F285D">
        <w:t xml:space="preserve">  It continued to refer to UTPR as the undertaxed </w:t>
      </w:r>
      <w:r w:rsidR="002F285D" w:rsidRPr="0097709D">
        <w:t>payment</w:t>
      </w:r>
      <w:r w:rsidR="0097709D">
        <w:t>s</w:t>
      </w:r>
      <w:r w:rsidR="002F285D">
        <w:t xml:space="preserve"> rule and made no m</w:t>
      </w:r>
      <w:r w:rsidR="008E1CEA">
        <w:t>ention of a QDMTT or any manner of domestic minimum tax</w:t>
      </w:r>
      <w:r w:rsidR="002F285D">
        <w:t>.</w:t>
      </w:r>
    </w:p>
    <w:p w14:paraId="43C0556C" w14:textId="77777777" w:rsidR="002F285D" w:rsidRDefault="002F285D" w:rsidP="002F285D">
      <w:pPr>
        <w:jc w:val="both"/>
      </w:pPr>
    </w:p>
    <w:p w14:paraId="4499DA30" w14:textId="506ABB26" w:rsidR="002F285D" w:rsidRDefault="002F285D" w:rsidP="002F285D">
      <w:pPr>
        <w:jc w:val="both"/>
      </w:pPr>
      <w:r>
        <w:t xml:space="preserve">The first major shift away from the </w:t>
      </w:r>
      <w:r w:rsidR="00EF6E6F">
        <w:t>Pillar II</w:t>
      </w:r>
      <w:r w:rsidR="00EF6E6F" w:rsidDel="00EF6E6F">
        <w:t xml:space="preserve"> </w:t>
      </w:r>
      <w:r>
        <w:t xml:space="preserve">Blueprint came soon after the release of the October 2021 Statement, upon the December 2021 release of the </w:t>
      </w:r>
      <w:r w:rsidR="00B03D71">
        <w:t xml:space="preserve">Pillar II </w:t>
      </w:r>
      <w:r>
        <w:t>Model Rules.  In the Model Rules, “UTPR” was no longer t</w:t>
      </w:r>
      <w:r w:rsidR="006607F4">
        <w:t xml:space="preserve">he undertaxed </w:t>
      </w:r>
      <w:r w:rsidR="006607F4" w:rsidRPr="0097709D">
        <w:t>payment</w:t>
      </w:r>
      <w:r w:rsidR="0097709D">
        <w:t>s</w:t>
      </w:r>
      <w:r w:rsidR="006607F4">
        <w:t xml:space="preserve"> rule, as t</w:t>
      </w:r>
      <w:r>
        <w:t xml:space="preserve">he nature of UTPR had shifted </w:t>
      </w:r>
      <w:r w:rsidR="006607F4">
        <w:t>dramatically</w:t>
      </w:r>
      <w:r>
        <w:t>.  First, UTPR was no longer connected to intra-group payments, so the method for allocati</w:t>
      </w:r>
      <w:r w:rsidR="00F86C5C">
        <w:t>ng</w:t>
      </w:r>
      <w:r>
        <w:t xml:space="preserve"> Top-Up Tax between UTPR jurisdictions no longer worked.  Instead, Top-Up Tax was allocated between UTPR jurisdictions on a more arbitrary basis, based on the relative amount of </w:t>
      </w:r>
      <w:r>
        <w:lastRenderedPageBreak/>
        <w:t>employees and tangible assets in each UTPR jurisdiction.</w:t>
      </w:r>
      <w:r w:rsidR="006607F4">
        <w:rPr>
          <w:rStyle w:val="FootnoteReference"/>
        </w:rPr>
        <w:footnoteReference w:id="148"/>
      </w:r>
      <w:r>
        <w:t xml:space="preserve">  Thus, UTPR moved from a more targeted provision that would have prevented base erosion from intra-group payments to a stand-alone taxing right based on formulary apportionment.  The apportionment formula the </w:t>
      </w:r>
      <w:r w:rsidR="00B16823">
        <w:t xml:space="preserve">Pillar II </w:t>
      </w:r>
      <w:r>
        <w:t>Model Rules settled upon can be summarized as follows.</w:t>
      </w:r>
      <w:r w:rsidR="00B16823">
        <w:rPr>
          <w:rStyle w:val="FootnoteReference"/>
        </w:rPr>
        <w:footnoteReference w:id="149"/>
      </w:r>
      <w:r>
        <w:t xml:space="preserve">  </w:t>
      </w:r>
    </w:p>
    <w:p w14:paraId="5D5447FD" w14:textId="77777777" w:rsidR="006607F4" w:rsidRDefault="006607F4" w:rsidP="002F285D">
      <w:pPr>
        <w:jc w:val="both"/>
      </w:pPr>
    </w:p>
    <w:p w14:paraId="055AABFA" w14:textId="77777777" w:rsidR="002F285D" w:rsidRDefault="002F285D" w:rsidP="00B16823">
      <w:pPr>
        <w:pStyle w:val="ListParagraph"/>
        <w:numPr>
          <w:ilvl w:val="0"/>
          <w:numId w:val="16"/>
        </w:numPr>
        <w:jc w:val="both"/>
      </w:pPr>
      <w:r>
        <w:t xml:space="preserve">The MNE Group determines the number of employees and the value of tangible assets in each UTPR jurisdiction.  </w:t>
      </w:r>
    </w:p>
    <w:p w14:paraId="02843AFD" w14:textId="77777777" w:rsidR="006607F4" w:rsidRDefault="006607F4" w:rsidP="002F285D">
      <w:pPr>
        <w:jc w:val="both"/>
      </w:pPr>
    </w:p>
    <w:p w14:paraId="25D7B2FC" w14:textId="77777777" w:rsidR="002F285D" w:rsidRDefault="002F285D" w:rsidP="00B16823">
      <w:pPr>
        <w:pStyle w:val="ListParagraph"/>
        <w:numPr>
          <w:ilvl w:val="0"/>
          <w:numId w:val="16"/>
        </w:numPr>
        <w:jc w:val="both"/>
      </w:pPr>
      <w:r>
        <w:t>The MNE Group divides the number of employees in a jurisdiction by total employees of the MNE Group in all UTPR jurisdictions and multiplies the resulting amount (represented as a percentage) by 50%</w:t>
      </w:r>
      <w:r w:rsidR="006607F4">
        <w:t>.</w:t>
      </w:r>
    </w:p>
    <w:p w14:paraId="5EFA346E" w14:textId="77777777" w:rsidR="00B16823" w:rsidRDefault="00B16823" w:rsidP="002F285D">
      <w:pPr>
        <w:jc w:val="both"/>
      </w:pPr>
    </w:p>
    <w:p w14:paraId="3FBA4A5C" w14:textId="77777777" w:rsidR="002F285D" w:rsidRDefault="002F285D" w:rsidP="00B16823">
      <w:pPr>
        <w:pStyle w:val="ListParagraph"/>
        <w:numPr>
          <w:ilvl w:val="0"/>
          <w:numId w:val="16"/>
        </w:numPr>
        <w:jc w:val="both"/>
      </w:pPr>
      <w:r>
        <w:t>The MNE Group divides the value of its tangible assets in a jurisdiction by the total value of all of its tangible assets in all UTPR jurisdictions and multiplies the resulting amount (represented as a percentage) by 50%</w:t>
      </w:r>
      <w:r w:rsidR="006607F4">
        <w:t>.</w:t>
      </w:r>
    </w:p>
    <w:p w14:paraId="68C38290" w14:textId="77777777" w:rsidR="006607F4" w:rsidRDefault="006607F4" w:rsidP="002F285D">
      <w:pPr>
        <w:jc w:val="both"/>
      </w:pPr>
    </w:p>
    <w:p w14:paraId="2F74B1AB" w14:textId="77777777" w:rsidR="00B16823" w:rsidRDefault="002F285D" w:rsidP="00B16823">
      <w:pPr>
        <w:pStyle w:val="ListParagraph"/>
        <w:numPr>
          <w:ilvl w:val="0"/>
          <w:numId w:val="16"/>
        </w:numPr>
        <w:jc w:val="both"/>
      </w:pPr>
      <w:r>
        <w:t>The two percentages computed above are added together and the resulting percentage is the share of</w:t>
      </w:r>
      <w:r w:rsidRPr="003D5550">
        <w:t xml:space="preserve"> </w:t>
      </w:r>
      <w:r>
        <w:t xml:space="preserve">Top-Up Tax apportioned to the UTPR jurisdiction.  </w:t>
      </w:r>
    </w:p>
    <w:p w14:paraId="2AD0C16B" w14:textId="77777777" w:rsidR="00B16823" w:rsidRDefault="00B16823" w:rsidP="002F285D">
      <w:pPr>
        <w:jc w:val="both"/>
      </w:pPr>
    </w:p>
    <w:p w14:paraId="2598E69C" w14:textId="41356D8E" w:rsidR="002F285D" w:rsidRDefault="002F285D" w:rsidP="002F285D">
      <w:pPr>
        <w:jc w:val="both"/>
      </w:pPr>
      <w:r>
        <w:t xml:space="preserve">The formulary apportionment applied by the </w:t>
      </w:r>
      <w:r w:rsidR="00B16823">
        <w:t xml:space="preserve">Pillar II </w:t>
      </w:r>
      <w:r>
        <w:t>Model Rules is different than the formulary apportionment normally applied because the items used</w:t>
      </w:r>
      <w:r w:rsidR="00B16823">
        <w:t xml:space="preserve"> in the fraction denominators</w:t>
      </w:r>
      <w:r>
        <w:t xml:space="preserve"> to compute the apportionment percentages are only those items from UTPR jurisdictions.  Thus, the apportionment of Top-Up Tax to a jurisdiction is not tied to the jurisdiction</w:t>
      </w:r>
      <w:r w:rsidR="00F86C5C">
        <w:t>’</w:t>
      </w:r>
      <w:r>
        <w:t>s contribution (or deemed contribution) to the economic activity of the enterprise as a whole.  This</w:t>
      </w:r>
      <w:r w:rsidR="00131755">
        <w:t xml:space="preserve"> aspect</w:t>
      </w:r>
      <w:r>
        <w:t xml:space="preserve"> adds to the arbitrary nature of the UTPR formula, as</w:t>
      </w:r>
      <w:r w:rsidR="00B16823">
        <w:t xml:space="preserve"> it is just a principle-flavored</w:t>
      </w:r>
      <w:r>
        <w:t xml:space="preserve"> method for UTPR jurisdictions to divvy up Top-Up Tax among one another.</w:t>
      </w:r>
    </w:p>
    <w:p w14:paraId="75D3C61C" w14:textId="77777777" w:rsidR="002F285D" w:rsidRDefault="002F285D" w:rsidP="002F285D">
      <w:pPr>
        <w:jc w:val="both"/>
      </w:pPr>
    </w:p>
    <w:p w14:paraId="58641F66" w14:textId="15257A20" w:rsidR="002F285D" w:rsidRDefault="002F285D" w:rsidP="002F285D">
      <w:pPr>
        <w:jc w:val="both"/>
      </w:pPr>
      <w:r>
        <w:t xml:space="preserve">The other significant change made in the </w:t>
      </w:r>
      <w:r w:rsidR="00B16823">
        <w:t xml:space="preserve">Pillar II </w:t>
      </w:r>
      <w:r>
        <w:t>Model Rules was that UTPR jurisdiction</w:t>
      </w:r>
      <w:r w:rsidR="00131755">
        <w:t>s</w:t>
      </w:r>
      <w:r>
        <w:t xml:space="preserve"> would deny all deductions (or make equivalent adjustments) until the resulting increase in tax was equal to the Top-Up Tax apportioned to the jurisdiction.</w:t>
      </w:r>
      <w:r w:rsidR="00B16823">
        <w:rPr>
          <w:rStyle w:val="FootnoteReference"/>
        </w:rPr>
        <w:footnoteReference w:id="150"/>
      </w:r>
      <w:r>
        <w:t xml:space="preserve">  Nevertheless, the </w:t>
      </w:r>
      <w:r w:rsidR="008136D9">
        <w:t xml:space="preserve">Pillar II </w:t>
      </w:r>
      <w:r>
        <w:t>Model Rules still appeared to limit a UTPR jurisdiction’s ability to impose Top-Up Tax to the jurisdiction’s tax rate multiplied by gross income in the jurisdiction</w:t>
      </w:r>
      <w:r w:rsidR="006E209F">
        <w:t>, as the only mechanism for imposing the Top-Up Tax was denying a UTPR jurisdiction taxpayer’s deductions or an adjustment equivalent to the denial of deductions.</w:t>
      </w:r>
    </w:p>
    <w:p w14:paraId="14157662" w14:textId="77777777" w:rsidR="002F285D" w:rsidRDefault="002F285D" w:rsidP="002F285D">
      <w:pPr>
        <w:jc w:val="both"/>
      </w:pPr>
    </w:p>
    <w:p w14:paraId="7F870DAE" w14:textId="5C30F13F" w:rsidR="002F285D" w:rsidRDefault="002F285D" w:rsidP="002F285D">
      <w:pPr>
        <w:jc w:val="both"/>
      </w:pPr>
      <w:r>
        <w:t>Then, in the March 2022 Commentary,</w:t>
      </w:r>
      <w:bookmarkStart w:id="10" w:name="_Ref149430173"/>
      <w:r w:rsidR="006E209F">
        <w:rPr>
          <w:rStyle w:val="FootnoteReference"/>
        </w:rPr>
        <w:footnoteReference w:id="151"/>
      </w:r>
      <w:bookmarkEnd w:id="10"/>
      <w:r>
        <w:t xml:space="preserve"> the mask finally came off. </w:t>
      </w:r>
      <w:r w:rsidR="006E209F">
        <w:t xml:space="preserve"> The </w:t>
      </w:r>
      <w:r w:rsidR="008136D9">
        <w:t xml:space="preserve">Pillar II </w:t>
      </w:r>
      <w:r w:rsidR="006E209F">
        <w:t xml:space="preserve">Model Rules provide that </w:t>
      </w:r>
      <w:r w:rsidR="00056F6C">
        <w:t>c</w:t>
      </w:r>
      <w:r w:rsidR="006E209F">
        <w:t xml:space="preserve">onstituent </w:t>
      </w:r>
      <w:r w:rsidR="00056F6C">
        <w:t>e</w:t>
      </w:r>
      <w:r w:rsidR="006E209F">
        <w:t>ntitie</w:t>
      </w:r>
      <w:r>
        <w:t xml:space="preserve">s in the UTPR jurisdiction </w:t>
      </w:r>
      <w:r w:rsidR="00056F6C">
        <w:t>“</w:t>
      </w:r>
      <w:r>
        <w:t xml:space="preserve">shall be denied a deduction (or required to make an </w:t>
      </w:r>
      <w:r w:rsidRPr="00DC10B1">
        <w:t>equivalent adjustment under domestic law</w:t>
      </w:r>
      <w:r>
        <w:t>).”</w:t>
      </w:r>
      <w:r w:rsidR="006E209F">
        <w:rPr>
          <w:rStyle w:val="FootnoteReference"/>
        </w:rPr>
        <w:footnoteReference w:id="152"/>
      </w:r>
      <w:r>
        <w:t xml:space="preserve">  The March 2022 Commentary </w:t>
      </w:r>
      <w:r>
        <w:lastRenderedPageBreak/>
        <w:t xml:space="preserve">interpreted “an </w:t>
      </w:r>
      <w:r w:rsidRPr="00DC10B1">
        <w:t>equivalent adjustment under domestic law</w:t>
      </w:r>
      <w:r>
        <w:t>” to include an upfront tax</w:t>
      </w:r>
      <w:r w:rsidR="00056F6C">
        <w:t>,</w:t>
      </w:r>
      <w:r>
        <w:t xml:space="preserve"> and jurisdictions implementing UTPR have run with this interpretation.</w:t>
      </w:r>
      <w:r w:rsidR="007068FA">
        <w:rPr>
          <w:rStyle w:val="FootnoteReference"/>
        </w:rPr>
        <w:footnoteReference w:id="153"/>
      </w:r>
      <w:r>
        <w:t xml:space="preserve"> </w:t>
      </w:r>
      <w:r w:rsidR="00056F6C">
        <w:t xml:space="preserve"> </w:t>
      </w:r>
      <w:r>
        <w:t xml:space="preserve">This introduced the truly novel concept of a jurisdiction imposing a tax specifically on income that is </w:t>
      </w:r>
      <w:r w:rsidR="00060D4A">
        <w:t xml:space="preserve">neither </w:t>
      </w:r>
      <w:r>
        <w:t xml:space="preserve">sourced to the jurisdiction </w:t>
      </w:r>
      <w:r w:rsidR="00060D4A">
        <w:t xml:space="preserve">nor </w:t>
      </w:r>
      <w:r>
        <w:t xml:space="preserve">income of a resident of the jurisdiction.  </w:t>
      </w:r>
    </w:p>
    <w:p w14:paraId="7B24B6D5" w14:textId="77777777" w:rsidR="002F285D" w:rsidRDefault="002F285D" w:rsidP="002F285D">
      <w:pPr>
        <w:jc w:val="both"/>
      </w:pPr>
    </w:p>
    <w:p w14:paraId="4A86F580" w14:textId="76DE074C" w:rsidR="004C262E" w:rsidRDefault="00056F6C" w:rsidP="002F285D">
      <w:pPr>
        <w:jc w:val="both"/>
      </w:pPr>
      <w:r>
        <w:t xml:space="preserve">The application of UTPR in the Pillar II Model Rules, </w:t>
      </w:r>
      <w:r w:rsidR="002F285D">
        <w:t>along with further developments provided in subsequent administrative guidance</w:t>
      </w:r>
      <w:r>
        <w:t>,</w:t>
      </w:r>
      <w:r w:rsidR="002F285D">
        <w:t xml:space="preserve"> fundamentally change</w:t>
      </w:r>
      <w:r>
        <w:t>d</w:t>
      </w:r>
      <w:r w:rsidR="002F285D">
        <w:t xml:space="preserve"> Pillar II from how it was introduced to what it has become.  The administrative guidance released after the March 2022 Commentary has brought QDMTT to the forefront.  The key development with respect to the QDMTT has been the introduction of the QDMTT </w:t>
      </w:r>
      <w:r w:rsidR="00FA4D3E">
        <w:t>s</w:t>
      </w:r>
      <w:r w:rsidR="002F285D">
        <w:t xml:space="preserve">afe </w:t>
      </w:r>
      <w:r w:rsidR="00FA4D3E">
        <w:t>h</w:t>
      </w:r>
      <w:r w:rsidR="002F285D">
        <w:t>arbor.</w:t>
      </w:r>
      <w:r w:rsidR="007068FA">
        <w:rPr>
          <w:rStyle w:val="FootnoteReference"/>
        </w:rPr>
        <w:footnoteReference w:id="154"/>
      </w:r>
      <w:r w:rsidR="002F285D">
        <w:t xml:space="preserve">  If a jurisdiction’s QDMTT satisfies the safe harbor, the only Pillar II reporting an MNE Group is required to make is the jurisdiction’s QDMTT reporting</w:t>
      </w:r>
      <w:r w:rsidR="00781E4C">
        <w:t xml:space="preserve">.  The </w:t>
      </w:r>
      <w:r w:rsidR="002F285D">
        <w:t xml:space="preserve">MNE Group’s Top-Up Tax with respect to the jurisdiction is deemed </w:t>
      </w:r>
      <w:r w:rsidR="00781E4C">
        <w:t xml:space="preserve">to </w:t>
      </w:r>
      <w:r w:rsidR="002F285D">
        <w:t>be zero</w:t>
      </w:r>
      <w:r w:rsidR="00F02FD5">
        <w:t>, obviating the need to undertake further calculations under the GloBE rule</w:t>
      </w:r>
      <w:r w:rsidR="002F285D">
        <w:t>.</w:t>
      </w:r>
      <w:r w:rsidR="007068FA">
        <w:rPr>
          <w:rStyle w:val="FootnoteReference"/>
        </w:rPr>
        <w:footnoteReference w:id="155"/>
      </w:r>
      <w:r w:rsidR="002F285D">
        <w:t xml:space="preserve">  The QDMTT </w:t>
      </w:r>
      <w:r w:rsidR="002D4B12">
        <w:t xml:space="preserve">safe harbor </w:t>
      </w:r>
      <w:r w:rsidR="002F285D">
        <w:t>has three requirements: the QDMTT Accounting Standard Requirement</w:t>
      </w:r>
      <w:r w:rsidR="00F02FD5">
        <w:t>,</w:t>
      </w:r>
      <w:r w:rsidR="002F285D">
        <w:t xml:space="preserve"> the Consistency Standard</w:t>
      </w:r>
      <w:r w:rsidR="00F02FD5">
        <w:t>,</w:t>
      </w:r>
      <w:r w:rsidR="002F285D">
        <w:t xml:space="preserve"> and the Administration Standard.</w:t>
      </w:r>
      <w:r w:rsidR="004C262E">
        <w:rPr>
          <w:rStyle w:val="FootnoteReference"/>
        </w:rPr>
        <w:footnoteReference w:id="156"/>
      </w:r>
      <w:r w:rsidR="002F285D">
        <w:t xml:space="preserve">  The QDMTT Accounting Standard Requirement and the Consistency Standard, together, essentially require that a jurisdiction compute Top-Up Tax in exact alignment with the </w:t>
      </w:r>
      <w:r w:rsidR="00161414">
        <w:t xml:space="preserve">Pillar II </w:t>
      </w:r>
      <w:r w:rsidR="002F285D">
        <w:t>Model Rules, commentary</w:t>
      </w:r>
      <w:r w:rsidR="00161414">
        <w:t>,</w:t>
      </w:r>
      <w:r w:rsidR="002F285D">
        <w:t xml:space="preserve"> and administrative guidance.</w:t>
      </w:r>
      <w:r w:rsidR="004C262E">
        <w:rPr>
          <w:rStyle w:val="FootnoteReference"/>
        </w:rPr>
        <w:footnoteReference w:id="157"/>
      </w:r>
      <w:r w:rsidR="002F285D">
        <w:t xml:space="preserve">  The Administration Standard requires that a QDMTT jurisdiction meet the requirements of an ongoing monitoring process</w:t>
      </w:r>
      <w:r w:rsidR="00161414">
        <w:t>, which</w:t>
      </w:r>
      <w:r w:rsidR="002F285D">
        <w:t xml:space="preserve"> will include a review of the information collection and reporting requirements under the QDMTT to ensure that they are consistent with the equivalent requirements under GloBE </w:t>
      </w:r>
      <w:r w:rsidR="00F02FD5">
        <w:t>r</w:t>
      </w:r>
      <w:r w:rsidR="002F285D">
        <w:t>ules and GloBE reporting requirements.</w:t>
      </w:r>
      <w:r w:rsidR="004C262E">
        <w:rPr>
          <w:rStyle w:val="FootnoteReference"/>
        </w:rPr>
        <w:footnoteReference w:id="158"/>
      </w:r>
      <w:r w:rsidR="002F285D">
        <w:t xml:space="preserve">  Finally, permanent review processes will be put into place to determine whether a jurisdiction</w:t>
      </w:r>
      <w:r w:rsidR="00161414">
        <w:t>’</w:t>
      </w:r>
      <w:r w:rsidR="002F285D">
        <w:t xml:space="preserve">s QDMTT meet the standards of the QDMTT </w:t>
      </w:r>
      <w:r w:rsidR="00A62B70">
        <w:t>s</w:t>
      </w:r>
      <w:r w:rsidR="002F285D">
        <w:t xml:space="preserve">afe </w:t>
      </w:r>
      <w:r w:rsidR="00A62B70">
        <w:t>h</w:t>
      </w:r>
      <w:r w:rsidR="002F285D">
        <w:t>arbor.</w:t>
      </w:r>
      <w:r w:rsidR="004C262E">
        <w:rPr>
          <w:rStyle w:val="FootnoteReference"/>
        </w:rPr>
        <w:footnoteReference w:id="159"/>
      </w:r>
    </w:p>
    <w:p w14:paraId="36850D89" w14:textId="77777777" w:rsidR="004C262E" w:rsidRDefault="004C262E" w:rsidP="002F285D">
      <w:pPr>
        <w:jc w:val="both"/>
      </w:pPr>
    </w:p>
    <w:p w14:paraId="29651909" w14:textId="4729450A" w:rsidR="002F285D" w:rsidRDefault="002F285D" w:rsidP="002F285D">
      <w:pPr>
        <w:jc w:val="both"/>
      </w:pPr>
      <w:r>
        <w:t>From all of this, the essence of what Pillar II has become emerges</w:t>
      </w:r>
      <w:r w:rsidR="00161414">
        <w:t>:</w:t>
      </w:r>
      <w:r>
        <w:t xml:space="preserve"> </w:t>
      </w:r>
      <w:r w:rsidR="00161414">
        <w:t>T</w:t>
      </w:r>
      <w:r>
        <w:t>o avoid being subject to Pillar II, jurisdictions around the world must implement a minimum tax th</w:t>
      </w:r>
      <w:r w:rsidR="00161414">
        <w:t>at</w:t>
      </w:r>
      <w:r>
        <w:t xml:space="preserve"> exactly follows the GloBE </w:t>
      </w:r>
      <w:r w:rsidR="00161414">
        <w:t>r</w:t>
      </w:r>
      <w:r>
        <w:t xml:space="preserve">ules, as they are amended and “clarified” from time to time.  Jurisdictions are compelled to accept this or otherwise be subject to UTPR.  The Inclusive Framework insists that this </w:t>
      </w:r>
      <w:r w:rsidR="00161414">
        <w:t xml:space="preserve">system </w:t>
      </w:r>
      <w:r>
        <w:t xml:space="preserve">complies with international tax treaties.  The next </w:t>
      </w:r>
      <w:r w:rsidR="00161414">
        <w:t xml:space="preserve">part </w:t>
      </w:r>
      <w:r>
        <w:t>review</w:t>
      </w:r>
      <w:r w:rsidR="00161414">
        <w:t>s</w:t>
      </w:r>
      <w:r>
        <w:t xml:space="preserve"> whether UTPR and other Treaty Avoidance Regimes indeed comply with international tax treaties.</w:t>
      </w:r>
      <w:r w:rsidR="0097780D">
        <w:t xml:space="preserve"> </w:t>
      </w:r>
    </w:p>
    <w:p w14:paraId="267E4710" w14:textId="77777777" w:rsidR="002F285D" w:rsidRDefault="004C262E" w:rsidP="0097780D">
      <w:pPr>
        <w:pStyle w:val="Heading1"/>
      </w:pPr>
      <w:r>
        <w:t>Compliance with Treaties and Federal Nexus</w:t>
      </w:r>
    </w:p>
    <w:p w14:paraId="5578EDA7" w14:textId="77777777" w:rsidR="004C262E" w:rsidRDefault="004C262E" w:rsidP="00593571">
      <w:pPr>
        <w:jc w:val="both"/>
      </w:pPr>
    </w:p>
    <w:p w14:paraId="1B420C64" w14:textId="69693656" w:rsidR="0058083C" w:rsidRDefault="005C35A4" w:rsidP="004C262E">
      <w:pPr>
        <w:jc w:val="both"/>
      </w:pPr>
      <w:r>
        <w:t>We refer to the regime</w:t>
      </w:r>
      <w:r w:rsidR="00240ADE">
        <w:t>s</w:t>
      </w:r>
      <w:r>
        <w:t xml:space="preserve"> discussed above</w:t>
      </w:r>
      <w:r w:rsidR="00240ADE">
        <w:t xml:space="preserve"> (i.e., the DPT, DSTs, and UTPR)</w:t>
      </w:r>
      <w:r>
        <w:t xml:space="preserve"> as Treaty Avoidance Regimes</w:t>
      </w:r>
      <w:r w:rsidR="00240ADE">
        <w:t>.  In this Part IV,</w:t>
      </w:r>
      <w:r>
        <w:t xml:space="preserve"> we turn to the question: </w:t>
      </w:r>
      <w:r w:rsidR="00BF4BE2">
        <w:t>H</w:t>
      </w:r>
      <w:r>
        <w:t xml:space="preserve">ow successful are they at avoiding </w:t>
      </w:r>
      <w:r w:rsidR="00240ADE">
        <w:t>t</w:t>
      </w:r>
      <w:r>
        <w:t>reaties</w:t>
      </w:r>
      <w:r w:rsidR="00240ADE">
        <w:t>?</w:t>
      </w:r>
      <w:r>
        <w:t xml:space="preserve">  The treaty provision</w:t>
      </w:r>
      <w:r w:rsidR="009864C3">
        <w:t>s</w:t>
      </w:r>
      <w:r>
        <w:t xml:space="preserve"> that we focus on in this </w:t>
      </w:r>
      <w:r w:rsidR="00240ADE">
        <w:t>A</w:t>
      </w:r>
      <w:r>
        <w:t xml:space="preserve">rticle </w:t>
      </w:r>
      <w:r w:rsidR="009864C3">
        <w:t>are the</w:t>
      </w:r>
      <w:r>
        <w:t xml:space="preserve"> PE Requirement</w:t>
      </w:r>
      <w:r w:rsidR="009864C3">
        <w:t xml:space="preserve"> and treaties</w:t>
      </w:r>
      <w:r w:rsidR="00240ADE">
        <w:t>’</w:t>
      </w:r>
      <w:r w:rsidR="009864C3">
        <w:t xml:space="preserve"> </w:t>
      </w:r>
      <w:r w:rsidR="00240ADE">
        <w:t>n</w:t>
      </w:r>
      <w:r w:rsidR="009864C3">
        <w:t>on-</w:t>
      </w:r>
      <w:r w:rsidR="00240ADE">
        <w:t>d</w:t>
      </w:r>
      <w:r>
        <w:t>iscrim</w:t>
      </w:r>
      <w:r w:rsidR="00C80591">
        <w:t xml:space="preserve">ination provisions.  </w:t>
      </w:r>
    </w:p>
    <w:p w14:paraId="4FE2214F" w14:textId="77777777" w:rsidR="00A9105B" w:rsidRDefault="00A9105B" w:rsidP="004C262E">
      <w:pPr>
        <w:jc w:val="both"/>
      </w:pPr>
    </w:p>
    <w:p w14:paraId="3124AA64" w14:textId="0B69259B" w:rsidR="00A9105B" w:rsidRPr="00A9105B" w:rsidRDefault="00483B25" w:rsidP="004C262E">
      <w:pPr>
        <w:jc w:val="both"/>
        <w:rPr>
          <w:b/>
        </w:rPr>
      </w:pPr>
      <w:r>
        <w:t xml:space="preserve">We also discuss whether there may be any constitutional constraints that would prevent Congress from enacting a UTPR.  The </w:t>
      </w:r>
      <w:r w:rsidR="00240ADE">
        <w:t xml:space="preserve">DPT and DSTs </w:t>
      </w:r>
      <w:r>
        <w:t xml:space="preserve">do not really raise any particular constitutional concerns.  Perhaps, back in the days of </w:t>
      </w:r>
      <w:r w:rsidRPr="007F44CE">
        <w:rPr>
          <w:i/>
        </w:rPr>
        <w:t>Bellas Hess</w:t>
      </w:r>
      <w:r>
        <w:t xml:space="preserve">, the Supreme Court may have found a tax like </w:t>
      </w:r>
      <w:r w:rsidR="00240ADE">
        <w:t xml:space="preserve">a </w:t>
      </w:r>
      <w:r>
        <w:t xml:space="preserve">DST levied </w:t>
      </w:r>
      <w:r w:rsidR="00F054D3">
        <w:t xml:space="preserve">on a foreign person with no physical presence in the United States to have been problematic.  However, in the current state of play, </w:t>
      </w:r>
      <w:r w:rsidR="00240ADE">
        <w:t xml:space="preserve">it </w:t>
      </w:r>
      <w:r w:rsidR="00F054D3">
        <w:t xml:space="preserve">is difficult </w:t>
      </w:r>
      <w:r w:rsidR="00240ADE">
        <w:t xml:space="preserve">for </w:t>
      </w:r>
      <w:r w:rsidR="00F054D3">
        <w:t xml:space="preserve">constitutional nexus limitations </w:t>
      </w:r>
      <w:r w:rsidR="00240ADE">
        <w:t xml:space="preserve">to </w:t>
      </w:r>
      <w:r w:rsidR="00F054D3">
        <w:t>com</w:t>
      </w:r>
      <w:r w:rsidR="00240ADE">
        <w:t>e</w:t>
      </w:r>
      <w:r w:rsidR="00F054D3">
        <w:t xml:space="preserve"> into play with respect to any of the Treaty Avoidance Regimes.  UTPR, on the other hand, as discussed below, may be problematic with respect to the application of the benefits </w:t>
      </w:r>
      <w:r w:rsidR="008B14D2">
        <w:t>test[s]</w:t>
      </w:r>
      <w:r w:rsidR="00F054D3">
        <w:t xml:space="preserve">. </w:t>
      </w:r>
    </w:p>
    <w:p w14:paraId="66A99E3C" w14:textId="77777777" w:rsidR="0058083C" w:rsidRDefault="0058083C" w:rsidP="0058083C">
      <w:pPr>
        <w:pStyle w:val="Heading2"/>
      </w:pPr>
      <w:r>
        <w:t>Compliance with Treaties</w:t>
      </w:r>
    </w:p>
    <w:p w14:paraId="142850D2" w14:textId="77777777" w:rsidR="0058083C" w:rsidRDefault="0058083C" w:rsidP="004C262E">
      <w:pPr>
        <w:jc w:val="both"/>
      </w:pPr>
    </w:p>
    <w:p w14:paraId="69B146C7" w14:textId="7C06050B" w:rsidR="009864C3" w:rsidRDefault="009864C3" w:rsidP="004C262E">
      <w:pPr>
        <w:jc w:val="both"/>
      </w:pPr>
      <w:r>
        <w:t>Below we</w:t>
      </w:r>
      <w:r w:rsidR="004C262E">
        <w:t xml:space="preserve"> </w:t>
      </w:r>
      <w:r w:rsidR="00B92696">
        <w:t xml:space="preserve">discuss </w:t>
      </w:r>
      <w:r w:rsidR="004C262E">
        <w:t xml:space="preserve">whether the Treaty Avoidance </w:t>
      </w:r>
      <w:r w:rsidR="0070694B">
        <w:t xml:space="preserve">Regimes </w:t>
      </w:r>
      <w:r>
        <w:t xml:space="preserve">violate the PE Requirement and the </w:t>
      </w:r>
      <w:r w:rsidR="0093391C">
        <w:t>n</w:t>
      </w:r>
      <w:r w:rsidR="004C262E">
        <w:t>on-</w:t>
      </w:r>
      <w:r w:rsidR="0093391C">
        <w:t>d</w:t>
      </w:r>
      <w:r w:rsidR="004C262E">
        <w:t>iscrimination provision</w:t>
      </w:r>
      <w:r>
        <w:t xml:space="preserve"> of international tax treaties</w:t>
      </w:r>
      <w:r w:rsidR="0097780D">
        <w:t>.</w:t>
      </w:r>
    </w:p>
    <w:p w14:paraId="50F52CDD" w14:textId="77777777" w:rsidR="009864C3" w:rsidRPr="009864C3" w:rsidRDefault="009864C3" w:rsidP="009864C3">
      <w:pPr>
        <w:pStyle w:val="Heading3"/>
      </w:pPr>
      <w:r>
        <w:t xml:space="preserve">The PE Requirement </w:t>
      </w:r>
    </w:p>
    <w:p w14:paraId="68C6FBB1" w14:textId="403E9EBE" w:rsidR="004C262E" w:rsidRDefault="004C262E" w:rsidP="004C262E">
      <w:pPr>
        <w:jc w:val="both"/>
      </w:pPr>
      <w:r>
        <w:t xml:space="preserve">We discussed the PE Requirement above, but an additional analysis is necessary to determine whether the PE Requirement can be applied to a tax.  Specifically, most provisions of a </w:t>
      </w:r>
      <w:r w:rsidR="0093391C">
        <w:t>t</w:t>
      </w:r>
      <w:r>
        <w:t xml:space="preserve">ax </w:t>
      </w:r>
      <w:r w:rsidR="0093391C">
        <w:t>t</w:t>
      </w:r>
      <w:r>
        <w:t xml:space="preserve">reaty, including the PE </w:t>
      </w:r>
      <w:r w:rsidR="0093391C">
        <w:t>Requirement</w:t>
      </w:r>
      <w:r>
        <w:t>, only apply to the taxes that are covered under the treaty (a “Tax Covered”).</w:t>
      </w:r>
      <w:r w:rsidR="0097780D">
        <w:rPr>
          <w:rStyle w:val="FootnoteReference"/>
        </w:rPr>
        <w:footnoteReference w:id="160"/>
      </w:r>
      <w:r>
        <w:t xml:space="preserve">  Thus, before analyzing whether a tax violates the PE Requirement, we first need to determine whe</w:t>
      </w:r>
      <w:r w:rsidR="007B21BF">
        <w:t xml:space="preserve">ther the tax is a Tax Covered.  </w:t>
      </w:r>
      <w:r>
        <w:t>The Taxes Covered provision</w:t>
      </w:r>
      <w:r w:rsidR="0093391C">
        <w:t xml:space="preserve"> of</w:t>
      </w:r>
      <w:r>
        <w:t xml:space="preserve"> the OECD Model Treaty provides:</w:t>
      </w:r>
    </w:p>
    <w:p w14:paraId="34B2943C" w14:textId="77777777" w:rsidR="004C262E" w:rsidRDefault="004C262E" w:rsidP="004C262E">
      <w:pPr>
        <w:jc w:val="both"/>
      </w:pPr>
    </w:p>
    <w:p w14:paraId="41EDA0F5" w14:textId="77777777" w:rsidR="004C262E" w:rsidRDefault="004C262E" w:rsidP="0097780D">
      <w:pPr>
        <w:pStyle w:val="ListParagraph"/>
        <w:numPr>
          <w:ilvl w:val="0"/>
          <w:numId w:val="17"/>
        </w:numPr>
        <w:jc w:val="both"/>
      </w:pPr>
      <w:r>
        <w:t>This Convention shall apply to taxes on income and on capital imposed on behalf of a Contracting State or of its political subdivisions or local authorities, irrespective of the manner in which they are levied.</w:t>
      </w:r>
    </w:p>
    <w:p w14:paraId="5444A4B4" w14:textId="77777777" w:rsidR="004C262E" w:rsidRDefault="004C262E" w:rsidP="004C262E">
      <w:pPr>
        <w:jc w:val="both"/>
      </w:pPr>
    </w:p>
    <w:p w14:paraId="686F7517" w14:textId="77777777" w:rsidR="004C262E" w:rsidRDefault="004C262E" w:rsidP="0097780D">
      <w:pPr>
        <w:pStyle w:val="ListParagraph"/>
        <w:numPr>
          <w:ilvl w:val="0"/>
          <w:numId w:val="17"/>
        </w:numPr>
        <w:jc w:val="both"/>
      </w:pPr>
      <w:r>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14:paraId="16EBDC2F" w14:textId="77777777" w:rsidR="004C262E" w:rsidRDefault="004C262E" w:rsidP="004C262E">
      <w:pPr>
        <w:jc w:val="both"/>
      </w:pPr>
    </w:p>
    <w:p w14:paraId="716AAEF8" w14:textId="77777777" w:rsidR="004C262E" w:rsidRDefault="004C262E" w:rsidP="0097780D">
      <w:pPr>
        <w:pStyle w:val="ListParagraph"/>
        <w:numPr>
          <w:ilvl w:val="0"/>
          <w:numId w:val="17"/>
        </w:numPr>
        <w:jc w:val="both"/>
      </w:pPr>
      <w:r>
        <w:t>The existing taxes to which the Convention shall apply are in particular:</w:t>
      </w:r>
    </w:p>
    <w:p w14:paraId="24C74D44" w14:textId="77777777" w:rsidR="004C262E" w:rsidRDefault="004C262E" w:rsidP="0097780D">
      <w:pPr>
        <w:ind w:left="720" w:firstLine="720"/>
        <w:jc w:val="both"/>
      </w:pPr>
      <w:r>
        <w:t xml:space="preserve">a) (in State A): </w:t>
      </w:r>
    </w:p>
    <w:p w14:paraId="0CEBF635" w14:textId="77777777" w:rsidR="004C262E" w:rsidRDefault="004C262E" w:rsidP="0097780D">
      <w:pPr>
        <w:ind w:left="720" w:firstLine="720"/>
        <w:jc w:val="both"/>
      </w:pPr>
      <w:r>
        <w:t xml:space="preserve">b) (in State B): </w:t>
      </w:r>
    </w:p>
    <w:p w14:paraId="53511430" w14:textId="77777777" w:rsidR="004C262E" w:rsidRDefault="004C262E" w:rsidP="004C262E">
      <w:pPr>
        <w:jc w:val="both"/>
      </w:pPr>
    </w:p>
    <w:p w14:paraId="68805378" w14:textId="2D883885" w:rsidR="004C262E" w:rsidRDefault="004C262E" w:rsidP="0097780D">
      <w:pPr>
        <w:pStyle w:val="ListParagraph"/>
        <w:numPr>
          <w:ilvl w:val="0"/>
          <w:numId w:val="17"/>
        </w:numPr>
        <w:jc w:val="both"/>
      </w:pPr>
      <w:r>
        <w:t xml:space="preserve">The Convention shall apply also to any identical or substantially similar taxes that are imposed after the date of signature of the Convention in addition to, or in place of, the existing taxes. </w:t>
      </w:r>
      <w:r w:rsidR="00187D36">
        <w:t xml:space="preserve"> </w:t>
      </w:r>
      <w:r>
        <w:t>The competent authorities of the Contracting States shall notify each other of any significant changes that have been made in their taxation laws.</w:t>
      </w:r>
      <w:r w:rsidR="007B21BF">
        <w:rPr>
          <w:rStyle w:val="FootnoteReference"/>
        </w:rPr>
        <w:footnoteReference w:id="161"/>
      </w:r>
    </w:p>
    <w:p w14:paraId="1E0F213A" w14:textId="77777777" w:rsidR="004C262E" w:rsidRDefault="004C262E" w:rsidP="004C262E">
      <w:pPr>
        <w:jc w:val="both"/>
      </w:pPr>
    </w:p>
    <w:p w14:paraId="457A607F" w14:textId="6BD8C3F0" w:rsidR="004C262E" w:rsidRDefault="004C262E" w:rsidP="004C262E">
      <w:pPr>
        <w:jc w:val="both"/>
      </w:pPr>
      <w:r>
        <w:t>The commentary to the OECD Model Treaty explains that</w:t>
      </w:r>
      <w:r w:rsidR="000E7BCB">
        <w:t>,</w:t>
      </w:r>
      <w:r>
        <w:t xml:space="preserve"> in some</w:t>
      </w:r>
      <w:r w:rsidR="0097780D">
        <w:t xml:space="preserve"> treaties, the parties prefer</w:t>
      </w:r>
      <w:r>
        <w:t xml:space="preserve"> to leave out paragraphs 1 and 2, above.</w:t>
      </w:r>
      <w:r w:rsidR="007B21BF">
        <w:rPr>
          <w:rStyle w:val="FootnoteReference"/>
        </w:rPr>
        <w:footnoteReference w:id="162"/>
      </w:r>
      <w:r>
        <w:t xml:space="preserve">  For those parties, their treaties would only include </w:t>
      </w:r>
      <w:r>
        <w:lastRenderedPageBreak/>
        <w:t>paragraphs 3 and 4, with paragraph 3 providing an exhaustive list of all existing taxes that the treaty is intended to cover.</w:t>
      </w:r>
      <w:r w:rsidR="005078F5">
        <w:rPr>
          <w:rStyle w:val="FootnoteReference"/>
        </w:rPr>
        <w:footnoteReference w:id="163"/>
      </w:r>
      <w:r>
        <w:t xml:space="preserve">  Parties deciding to leave out paragraphs 1 and 2 would appear to apply their treaties on a more limited basis.  Specifically, </w:t>
      </w:r>
      <w:r w:rsidR="0097780D">
        <w:t xml:space="preserve">a </w:t>
      </w:r>
      <w:r>
        <w:t>treaty that leaves out parag</w:t>
      </w:r>
      <w:r w:rsidR="0097780D">
        <w:t>raph</w:t>
      </w:r>
      <w:r w:rsidR="004734DE">
        <w:t>s 1 and 2 would appear to limit</w:t>
      </w:r>
      <w:r w:rsidR="0097780D">
        <w:t xml:space="preserve"> itself </w:t>
      </w:r>
      <w:r>
        <w:t>to</w:t>
      </w:r>
      <w:r w:rsidR="004734DE">
        <w:t>: (i)</w:t>
      </w:r>
      <w:r>
        <w:t xml:space="preserve"> the specific taxes enumerated in the Taxes Covered provision</w:t>
      </w:r>
      <w:r w:rsidR="000E7BCB">
        <w:t xml:space="preserve"> (i.e., paragraph 3)</w:t>
      </w:r>
      <w:r w:rsidR="004734DE">
        <w:t>, and (ii)</w:t>
      </w:r>
      <w:r>
        <w:t xml:space="preserve"> </w:t>
      </w:r>
      <w:r w:rsidR="004734DE">
        <w:t>subsequently enacted taxes only to the extent that</w:t>
      </w:r>
      <w:r>
        <w:t xml:space="preserve"> such taxes are substantially similar to the enumerated taxes (a “Substantially Similar Lim</w:t>
      </w:r>
      <w:r w:rsidR="004734DE">
        <w:t>itation”).  A</w:t>
      </w:r>
      <w:r>
        <w:t xml:space="preserve"> treaty that includes paragraphs 1 and 2 would appear to </w:t>
      </w:r>
      <w:r w:rsidR="004734DE">
        <w:t xml:space="preserve">have broader coverage, </w:t>
      </w:r>
      <w:r w:rsidR="000E7BCB">
        <w:t xml:space="preserve">applying to </w:t>
      </w:r>
      <w:r>
        <w:t>any new taxes on income and components of income, whether the tax is substantially similar to a tax listed in paragraph 3 or not (an “All Income Tax Limitation”).  The current U.S. Model Treaty takes an All Income Tax Limitation</w:t>
      </w:r>
      <w:r w:rsidR="000E7BCB">
        <w:t xml:space="preserve"> approach</w:t>
      </w:r>
      <w:r>
        <w:t>, but the prior U.S. Model Treaty took a Substantially Similar Limitation</w:t>
      </w:r>
      <w:r w:rsidR="000E7BCB">
        <w:t xml:space="preserve"> approach</w:t>
      </w:r>
      <w:r>
        <w:t xml:space="preserve">.  Different approaches are reflected in different U.S. </w:t>
      </w:r>
      <w:r w:rsidR="000E7BCB">
        <w:t>t</w:t>
      </w:r>
      <w:r>
        <w:t xml:space="preserve">ax </w:t>
      </w:r>
      <w:r w:rsidR="000E7BCB">
        <w:t>t</w:t>
      </w:r>
      <w:r>
        <w:t>reaties.  For example, the U</w:t>
      </w:r>
      <w:r w:rsidR="000E7BCB">
        <w:t>nited States</w:t>
      </w:r>
      <w:r>
        <w:t>-UK Treaty and the U</w:t>
      </w:r>
      <w:r w:rsidR="000E7BCB">
        <w:t xml:space="preserve">nited </w:t>
      </w:r>
      <w:r>
        <w:t>S</w:t>
      </w:r>
      <w:r w:rsidR="000E7BCB">
        <w:t>tates</w:t>
      </w:r>
      <w:r>
        <w:t xml:space="preserve">-France Treaty take an All Income Tax Limitation </w:t>
      </w:r>
      <w:r w:rsidR="000E7BCB">
        <w:t>a</w:t>
      </w:r>
      <w:r>
        <w:t>pproach, while the U</w:t>
      </w:r>
      <w:r w:rsidR="000E7BCB">
        <w:t xml:space="preserve">nited </w:t>
      </w:r>
      <w:r>
        <w:t>S</w:t>
      </w:r>
      <w:r w:rsidR="000E7BCB">
        <w:t>tates</w:t>
      </w:r>
      <w:r>
        <w:t xml:space="preserve">-Netherlands Treaty takes a Substantially Similar Limitation </w:t>
      </w:r>
      <w:r w:rsidR="000E7BCB">
        <w:t>a</w:t>
      </w:r>
      <w:r>
        <w:t>pproach.</w:t>
      </w:r>
      <w:r w:rsidR="001E447D">
        <w:rPr>
          <w:rStyle w:val="FootnoteReference"/>
        </w:rPr>
        <w:footnoteReference w:id="164"/>
      </w:r>
      <w:r>
        <w:t xml:space="preserve">  </w:t>
      </w:r>
    </w:p>
    <w:p w14:paraId="02D4CB59" w14:textId="77777777" w:rsidR="004C262E" w:rsidRDefault="004C262E" w:rsidP="004C262E">
      <w:pPr>
        <w:jc w:val="both"/>
      </w:pPr>
    </w:p>
    <w:p w14:paraId="3889B554" w14:textId="5E1FF4B3" w:rsidR="004C262E" w:rsidRDefault="004C262E" w:rsidP="004C262E">
      <w:pPr>
        <w:jc w:val="both"/>
      </w:pPr>
      <w:r>
        <w:t xml:space="preserve">The Avoidance of PE Rule of the DPT appears to easily qualify as a Tax Covered, whether a </w:t>
      </w:r>
      <w:r w:rsidR="000E7BCB">
        <w:t>t</w:t>
      </w:r>
      <w:r>
        <w:t xml:space="preserve">reaty’s Tax Covered </w:t>
      </w:r>
      <w:r w:rsidR="000E7BCB">
        <w:t>p</w:t>
      </w:r>
      <w:r>
        <w:t>rovision applies an All Income Tax Limitation or a Substantially Similar Limitation.  Other than the few cosmetic differences that render it a harsher tax than the UK corporations tax, it appear</w:t>
      </w:r>
      <w:r w:rsidR="00CE22CC">
        <w:t>s</w:t>
      </w:r>
      <w:r>
        <w:t xml:space="preserve"> to be a clone of the UK corporations tax that applies specifically in contradiction to the UK’s </w:t>
      </w:r>
      <w:r w:rsidR="000D3356">
        <w:t>t</w:t>
      </w:r>
      <w:r>
        <w:t>reaty agreements not to</w:t>
      </w:r>
      <w:r w:rsidR="001E447D">
        <w:t xml:space="preserve"> tax business income absent a perma</w:t>
      </w:r>
      <w:r w:rsidR="00D76997">
        <w:t>nent establishment</w:t>
      </w:r>
      <w:r>
        <w:t xml:space="preserve">.  However, according </w:t>
      </w:r>
      <w:r w:rsidR="000D3356">
        <w:t xml:space="preserve">to </w:t>
      </w:r>
      <w:r>
        <w:t>the UK itself</w:t>
      </w:r>
      <w:r w:rsidR="000D3356">
        <w:t>,</w:t>
      </w:r>
      <w:r>
        <w:t xml:space="preserve"> it is not so clear.  </w:t>
      </w:r>
      <w:r w:rsidR="000D3356">
        <w:t>I</w:t>
      </w:r>
      <w:r>
        <w:t xml:space="preserve">t is possible to understand the Substantially Similar Limitation to be extremely narrow and to generally permit treaty partners to easily avoid their </w:t>
      </w:r>
      <w:r w:rsidR="000D3356">
        <w:t>t</w:t>
      </w:r>
      <w:r>
        <w:t xml:space="preserve">reaty obligations by implementing income taxes slightly different from those enumerated in </w:t>
      </w:r>
      <w:r w:rsidR="000D3356">
        <w:t>the</w:t>
      </w:r>
      <w:r>
        <w:t xml:space="preserve"> relevant </w:t>
      </w:r>
      <w:r w:rsidR="000D3356">
        <w:t>t</w:t>
      </w:r>
      <w:r>
        <w:t xml:space="preserve">reaty.  For example, in </w:t>
      </w:r>
      <w:r w:rsidRPr="001E447D">
        <w:rPr>
          <w:i/>
        </w:rPr>
        <w:t>Bricom v</w:t>
      </w:r>
      <w:r w:rsidR="000D3356">
        <w:rPr>
          <w:i/>
        </w:rPr>
        <w:t>.</w:t>
      </w:r>
      <w:r w:rsidRPr="001E447D">
        <w:rPr>
          <w:i/>
        </w:rPr>
        <w:t xml:space="preserve"> Commissioners of the Inland Revenue</w:t>
      </w:r>
      <w:r>
        <w:t>,</w:t>
      </w:r>
      <w:r w:rsidR="007F44CE">
        <w:rPr>
          <w:rStyle w:val="FootnoteReference"/>
        </w:rPr>
        <w:footnoteReference w:id="165"/>
      </w:r>
      <w:r>
        <w:t xml:space="preserve"> the </w:t>
      </w:r>
      <w:r w:rsidR="000D3356">
        <w:t xml:space="preserve">UK </w:t>
      </w:r>
      <w:r w:rsidR="00DF6DDA">
        <w:t>C</w:t>
      </w:r>
      <w:r>
        <w:t>ourt</w:t>
      </w:r>
      <w:r w:rsidR="00DF6DDA">
        <w:t xml:space="preserve"> of Appeal</w:t>
      </w:r>
      <w:r>
        <w:t xml:space="preserve"> considered whether the UK’s CFC tax imposed on a UK shareholder with respect to the income of the CFC was substantially similar to its corporations tax.  The court concluded that the CFC tax was not substantially similar because it was imposed on a notional amount of income, the income earned by the CFC, and not on an actual amount of income earned by the UK shareholder. </w:t>
      </w:r>
      <w:r w:rsidR="00DF6DDA">
        <w:t xml:space="preserve"> </w:t>
      </w:r>
      <w:r>
        <w:t xml:space="preserve">One, of course, could take issue with the court as to whether a CFC tax is really imposed on a notional amount of income or whether it is imposed on income earned by a shareholder indirectly.  However, the important point derived from the case is that the court appeared to view “substantially similar” to mean “virtually identical.”  Perhaps the </w:t>
      </w:r>
      <w:r w:rsidRPr="007F44CE">
        <w:rPr>
          <w:i/>
        </w:rPr>
        <w:t>Bricom</w:t>
      </w:r>
      <w:r>
        <w:t xml:space="preserve"> court would agree that since, technically, the Avoidance of PE Rule applies to a notional amount of income, </w:t>
      </w:r>
      <w:r w:rsidR="00A42406">
        <w:t xml:space="preserve">such notional amount being </w:t>
      </w:r>
      <w:r>
        <w:t>the income of the foreign company would be attribu</w:t>
      </w:r>
      <w:r w:rsidR="007F44CE">
        <w:t>table to a UK permanent establishment</w:t>
      </w:r>
      <w:r w:rsidR="00A42406">
        <w:t xml:space="preserve"> if such a permanent establishment existed </w:t>
      </w:r>
      <w:r>
        <w:t>.  The argument</w:t>
      </w:r>
      <w:r w:rsidR="007F44CE">
        <w:t xml:space="preserve"> is a bit more difficult in the DPT context</w:t>
      </w:r>
      <w:r>
        <w:t xml:space="preserve"> because the foreign company directly earns income and is subj</w:t>
      </w:r>
      <w:r w:rsidR="000627E6">
        <w:t xml:space="preserve">ect to UK tax on the income.  </w:t>
      </w:r>
      <w:r>
        <w:t xml:space="preserve">In any case, outside of an extraordinarily narrow interpretation of “substantially similar” and for </w:t>
      </w:r>
      <w:r w:rsidR="00DF6DDA">
        <w:t>t</w:t>
      </w:r>
      <w:r>
        <w:t>reat</w:t>
      </w:r>
      <w:r w:rsidR="00DF6DDA">
        <w:t>ies</w:t>
      </w:r>
      <w:r>
        <w:t xml:space="preserve"> that have an All Income Tax Limitation, the Avoidance of PE Rule appears to violate the PE </w:t>
      </w:r>
      <w:r w:rsidR="0056522A">
        <w:t xml:space="preserve">Requirement </w:t>
      </w:r>
      <w:r>
        <w:t>in a very specific and direct way, taxing a nonresident who has no</w:t>
      </w:r>
      <w:r w:rsidR="000627E6">
        <w:t xml:space="preserve"> UK permanent establishment</w:t>
      </w:r>
      <w:r>
        <w:t xml:space="preserve"> as</w:t>
      </w:r>
      <w:r w:rsidR="000627E6">
        <w:t xml:space="preserve"> though the nonresident has a permanent establishment</w:t>
      </w:r>
      <w:r>
        <w:t xml:space="preserve">. </w:t>
      </w:r>
    </w:p>
    <w:p w14:paraId="15FE2080" w14:textId="77777777" w:rsidR="004C262E" w:rsidRDefault="004C262E" w:rsidP="004C262E">
      <w:pPr>
        <w:jc w:val="both"/>
      </w:pPr>
    </w:p>
    <w:p w14:paraId="4F07934E" w14:textId="0DFC73D4" w:rsidR="00A51DB7" w:rsidRDefault="004C262E" w:rsidP="004C262E">
      <w:pPr>
        <w:jc w:val="both"/>
      </w:pPr>
      <w:r>
        <w:t>DSTs are a bit trickier.  On one hand, the argument could be made that DSTs are not an income tax, being more in the nature of a consumption tax, like a sales tax or VAT.</w:t>
      </w:r>
      <w:bookmarkStart w:id="11" w:name="_Ref149034041"/>
      <w:r w:rsidR="000627E6">
        <w:rPr>
          <w:rStyle w:val="FootnoteReference"/>
        </w:rPr>
        <w:footnoteReference w:id="166"/>
      </w:r>
      <w:bookmarkEnd w:id="11"/>
      <w:r>
        <w:t xml:space="preserve">  In that case, both </w:t>
      </w:r>
      <w:r w:rsidR="0056522A">
        <w:t>t</w:t>
      </w:r>
      <w:r>
        <w:t xml:space="preserve">reaties with a Substantially Similar Limitation and </w:t>
      </w:r>
      <w:r w:rsidR="0056522A">
        <w:t>t</w:t>
      </w:r>
      <w:r>
        <w:t xml:space="preserve">reaties with an All Income Tax Limitation would not prohibit a source jurisdiction from imposing a DST.  On the other hand, if a DST is an income tax, there would be strong arguments that both </w:t>
      </w:r>
      <w:r w:rsidR="0056522A">
        <w:t>t</w:t>
      </w:r>
      <w:r>
        <w:t xml:space="preserve">reaties with a Substantially Similar Limitation and </w:t>
      </w:r>
      <w:r w:rsidR="0056522A">
        <w:t>t</w:t>
      </w:r>
      <w:r>
        <w:t>reaties with an All Income Tax Limitation would prohibit a source juri</w:t>
      </w:r>
      <w:r w:rsidR="000627E6">
        <w:t xml:space="preserve">sdiction from imposing a DST.  </w:t>
      </w:r>
      <w:r>
        <w:t>The USTR has expressed the view that DSTs are not a consumption tax, as consumption taxes are “transaction-based taxes</w:t>
      </w:r>
      <w:r w:rsidR="0056522A">
        <w:t>,</w:t>
      </w:r>
      <w:r>
        <w:t>” and DSTs are taxes on a portion of a taxpayer’s revenue relative to the volume of the taxpayer’s relevant type of activities in the country imposing DST.</w:t>
      </w:r>
      <w:bookmarkStart w:id="12" w:name="_Ref149034824"/>
      <w:r w:rsidR="000627E6">
        <w:rPr>
          <w:rStyle w:val="FootnoteReference"/>
        </w:rPr>
        <w:footnoteReference w:id="167"/>
      </w:r>
      <w:bookmarkEnd w:id="12"/>
      <w:r>
        <w:t xml:space="preserve">  Others have argued that taxes on revenue are consumption taxes and, therefore, DSTs are consumption taxes.</w:t>
      </w:r>
      <w:r w:rsidR="004A2B35">
        <w:rPr>
          <w:rStyle w:val="FootnoteReference"/>
        </w:rPr>
        <w:footnoteReference w:id="168"/>
      </w:r>
      <w:r>
        <w:t xml:space="preserve">  Such an approach distinguishes taxes on gross dividends, interest, royalties, etc.</w:t>
      </w:r>
      <w:r w:rsidR="00A62B70">
        <w:t>,</w:t>
      </w:r>
      <w:r>
        <w:t xml:space="preserve"> which are explicitly dealt with in </w:t>
      </w:r>
      <w:r w:rsidR="009D45A0">
        <w:t>t</w:t>
      </w:r>
      <w:r>
        <w:t>reaties, by distinguishing taxes on individual items of gross income from a broader tax on revenue.</w:t>
      </w:r>
      <w:r w:rsidR="004A2B35">
        <w:rPr>
          <w:rStyle w:val="FootnoteReference"/>
        </w:rPr>
        <w:footnoteReference w:id="169"/>
      </w:r>
      <w:r>
        <w:t xml:space="preserve">  From </w:t>
      </w:r>
      <w:r w:rsidR="009D45A0">
        <w:t>our</w:t>
      </w:r>
      <w:r>
        <w:t xml:space="preserve"> point of view, it is difficult to follow the reasoning of this distinction, but the more interesting point on which to focus is that it may make no difference </w:t>
      </w:r>
      <w:r w:rsidR="009D45A0">
        <w:t xml:space="preserve">in determining whether </w:t>
      </w:r>
      <w:r>
        <w:t xml:space="preserve">a DST is Taxed Covered under </w:t>
      </w:r>
      <w:r w:rsidR="009D45A0">
        <w:t>a t</w:t>
      </w:r>
      <w:r>
        <w:t>reaty or not.  As noted above, the USTR</w:t>
      </w:r>
      <w:r w:rsidR="009D45A0">
        <w:t>’s</w:t>
      </w:r>
      <w:r>
        <w:t xml:space="preserve"> reports on the DSTs of various countries</w:t>
      </w:r>
      <w:r w:rsidR="009D45A0">
        <w:t xml:space="preserve"> asserted</w:t>
      </w:r>
      <w:r>
        <w:t xml:space="preserve"> that DSTs are not consumption taxes.  However, the USTR also did not assert that DSTs violated </w:t>
      </w:r>
      <w:r w:rsidR="009D45A0">
        <w:t>t</w:t>
      </w:r>
      <w:r>
        <w:t>reaty obligations.</w:t>
      </w:r>
      <w:r w:rsidR="0092113C">
        <w:t xml:space="preserve">  In the USTR’s r</w:t>
      </w:r>
      <w:r>
        <w:t>eports, the USTR consistently maintain</w:t>
      </w:r>
      <w:r w:rsidR="009D45A0">
        <w:t>ed</w:t>
      </w:r>
      <w:r>
        <w:t xml:space="preserve"> that the PE Requirement applies to the taxation of “business profits”</w:t>
      </w:r>
      <w:r w:rsidR="00205B3E">
        <w:t xml:space="preserve"> only</w:t>
      </w:r>
      <w:r>
        <w:t xml:space="preserve"> and does not address taxes on gross revenue.</w:t>
      </w:r>
      <w:r w:rsidR="0092113C">
        <w:rPr>
          <w:rStyle w:val="FootnoteReference"/>
        </w:rPr>
        <w:footnoteReference w:id="170"/>
      </w:r>
      <w:r>
        <w:t xml:space="preserve">  Following through with this approach, the DST </w:t>
      </w:r>
      <w:r w:rsidR="00A51DB7">
        <w:t>r</w:t>
      </w:r>
      <w:r>
        <w:t>eports d</w:t>
      </w:r>
      <w:r w:rsidR="00A51DB7">
        <w:t>id</w:t>
      </w:r>
      <w:r>
        <w:t xml:space="preserve"> not claim that U</w:t>
      </w:r>
      <w:r w:rsidR="00A51DB7">
        <w:t>.</w:t>
      </w:r>
      <w:r>
        <w:t>S</w:t>
      </w:r>
      <w:r w:rsidR="00A51DB7">
        <w:t>.</w:t>
      </w:r>
      <w:r>
        <w:t xml:space="preserve"> </w:t>
      </w:r>
      <w:r w:rsidR="00A51DB7">
        <w:t>t</w:t>
      </w:r>
      <w:r>
        <w:t xml:space="preserve">reaty partners imposing DSTs do so in violation of their </w:t>
      </w:r>
      <w:r w:rsidR="00A51DB7">
        <w:t>t</w:t>
      </w:r>
      <w:r>
        <w:t xml:space="preserve">reaty obligations.  Instead, the DST </w:t>
      </w:r>
      <w:r w:rsidR="00A51DB7">
        <w:t>r</w:t>
      </w:r>
      <w:r>
        <w:t xml:space="preserve">eports </w:t>
      </w:r>
      <w:r w:rsidR="008529EA">
        <w:t>argue</w:t>
      </w:r>
      <w:r>
        <w:t xml:space="preserve"> that taxes on gross business revenue are not addressed in </w:t>
      </w:r>
      <w:r w:rsidR="00A51DB7">
        <w:t>t</w:t>
      </w:r>
      <w:r>
        <w:t>reaties because it is generally understood that gross revenue taxes are an inappropriate approach to taxing business income.</w:t>
      </w:r>
      <w:r w:rsidR="008F7AD2">
        <w:rPr>
          <w:rStyle w:val="FootnoteReference"/>
        </w:rPr>
        <w:footnoteReference w:id="171"/>
      </w:r>
      <w:r>
        <w:t xml:space="preserve">  </w:t>
      </w:r>
    </w:p>
    <w:p w14:paraId="1023EC64" w14:textId="77777777" w:rsidR="00A51DB7" w:rsidRDefault="00A51DB7" w:rsidP="004C262E">
      <w:pPr>
        <w:jc w:val="both"/>
      </w:pPr>
    </w:p>
    <w:p w14:paraId="2512C931" w14:textId="29EACF72" w:rsidR="00662EFB" w:rsidRDefault="004C262E" w:rsidP="004C262E">
      <w:pPr>
        <w:jc w:val="both"/>
      </w:pPr>
      <w:r>
        <w:t>This is a theme that then carries us for</w:t>
      </w:r>
      <w:r w:rsidR="005E3C6C">
        <w:t>ward to UTPR, where the</w:t>
      </w:r>
      <w:r>
        <w:t xml:space="preserve"> strategy to avoid </w:t>
      </w:r>
      <w:r w:rsidR="005E3C6C">
        <w:t xml:space="preserve">a </w:t>
      </w:r>
      <w:r>
        <w:t>con</w:t>
      </w:r>
      <w:r w:rsidR="005E3C6C">
        <w:t xml:space="preserve">flict with treaty obligations is to </w:t>
      </w:r>
      <w:r w:rsidR="00FA7CBF">
        <w:t>impose a tax that so deeply undermines</w:t>
      </w:r>
      <w:r>
        <w:t xml:space="preserve"> the fundamental principles </w:t>
      </w:r>
      <w:r w:rsidR="005E3C6C">
        <w:t xml:space="preserve">upon which treaties are </w:t>
      </w:r>
      <w:r w:rsidR="002C2F3F">
        <w:t>based</w:t>
      </w:r>
      <w:r w:rsidR="00FA7CBF">
        <w:t xml:space="preserve"> that is arguably not addressed by treaties</w:t>
      </w:r>
      <w:r w:rsidR="005E3C6C">
        <w:t>.</w:t>
      </w:r>
      <w:r>
        <w:t xml:space="preserve"> </w:t>
      </w:r>
      <w:r w:rsidR="00A51DB7">
        <w:t xml:space="preserve"> </w:t>
      </w:r>
      <w:r w:rsidR="00B626E2">
        <w:t>Per its design, UTPR is a tax on income.  The amount of the tax is determined by computing the income of constituent entities in a jurisdiction and then imposing a tax on the income.  C</w:t>
      </w:r>
      <w:r w:rsidR="004971CF">
        <w:t xml:space="preserve">ommentators have noted </w:t>
      </w:r>
      <w:r w:rsidR="00B626E2">
        <w:t xml:space="preserve">that UTPR is </w:t>
      </w:r>
      <w:r>
        <w:t>different from an in</w:t>
      </w:r>
      <w:r w:rsidR="00B626E2">
        <w:t xml:space="preserve">come tax because </w:t>
      </w:r>
      <w:r w:rsidR="004971CF">
        <w:t>income taxes are imposed on the person who has the income and UTPR is not</w:t>
      </w:r>
      <w:r>
        <w:t>.</w:t>
      </w:r>
      <w:r w:rsidR="00560578">
        <w:rPr>
          <w:rStyle w:val="FootnoteReference"/>
        </w:rPr>
        <w:footnoteReference w:id="172"/>
      </w:r>
      <w:r>
        <w:t xml:space="preserve">  </w:t>
      </w:r>
      <w:r w:rsidR="00560578">
        <w:t xml:space="preserve">As a result, it is </w:t>
      </w:r>
      <w:r w:rsidR="00B626E2">
        <w:t xml:space="preserve">possible to argue that UTPR is not an income tax because a jurisdiction’s entitlement to tax income arises only when the income is sourced to the jurisdiction </w:t>
      </w:r>
      <w:r w:rsidR="00B626E2">
        <w:lastRenderedPageBreak/>
        <w:t>or when the income is the income of a resident of the jurisdiction.</w:t>
      </w:r>
      <w:r w:rsidR="00560578">
        <w:rPr>
          <w:rStyle w:val="FootnoteReference"/>
        </w:rPr>
        <w:footnoteReference w:id="173"/>
      </w:r>
      <w:r w:rsidR="00B626E2">
        <w:t xml:space="preserve">  Because the</w:t>
      </w:r>
      <w:r w:rsidR="002C2F3F">
        <w:t xml:space="preserve"> jurisdiction imposing UTPR has no claim to tax the income of its</w:t>
      </w:r>
      <w:r w:rsidR="00B626E2">
        <w:t xml:space="preserve"> </w:t>
      </w:r>
      <w:r w:rsidR="002C2F3F">
        <w:t xml:space="preserve">constituent entity on either a source or residence basis, </w:t>
      </w:r>
      <w:r w:rsidR="00B626E2">
        <w:t>UTP</w:t>
      </w:r>
      <w:r w:rsidR="00D76997">
        <w:t>R</w:t>
      </w:r>
      <w:r w:rsidR="00B626E2">
        <w:t>, is not an income tax</w:t>
      </w:r>
      <w:r>
        <w:t>.</w:t>
      </w:r>
      <w:r w:rsidR="00560578">
        <w:rPr>
          <w:rStyle w:val="FootnoteReference"/>
        </w:rPr>
        <w:footnoteReference w:id="174"/>
      </w:r>
      <w:r>
        <w:t xml:space="preserve">  This argument appropriately disting</w:t>
      </w:r>
      <w:r w:rsidR="00F50C1A">
        <w:t>uishes UTPR from a CFC tax.  A</w:t>
      </w:r>
      <w:r>
        <w:t xml:space="preserve"> CFC tax</w:t>
      </w:r>
      <w:r w:rsidR="00F50C1A">
        <w:t xml:space="preserve"> is imposed on the income of a shareholder of a CFC that the </w:t>
      </w:r>
      <w:r>
        <w:t>shareholder earns indirectly though the CFC.</w:t>
      </w:r>
      <w:r w:rsidR="00662EFB">
        <w:rPr>
          <w:rStyle w:val="FootnoteReference"/>
        </w:rPr>
        <w:footnoteReference w:id="175"/>
      </w:r>
      <w:r>
        <w:t xml:space="preserve">  </w:t>
      </w:r>
      <w:r w:rsidR="00F50C1A">
        <w:t>In the context of UTPR, the jurisdiction</w:t>
      </w:r>
      <w:r w:rsidR="00560578">
        <w:t xml:space="preserve"> imposing the tax</w:t>
      </w:r>
      <w:r w:rsidR="00F50C1A">
        <w:t xml:space="preserve"> has no basis upon which to tax the income that </w:t>
      </w:r>
      <w:r w:rsidR="00662EFB">
        <w:t>UTPR</w:t>
      </w:r>
      <w:r w:rsidR="00F50C1A">
        <w:t xml:space="preserve"> is designed to tax</w:t>
      </w:r>
      <w:r>
        <w:t xml:space="preserve">.  </w:t>
      </w:r>
      <w:r w:rsidR="007D7640">
        <w:t xml:space="preserve">Thus, UTPR cannot be an income tax.  </w:t>
      </w:r>
      <w:r>
        <w:t>Th</w:t>
      </w:r>
      <w:r w:rsidR="007D7640">
        <w:t>is</w:t>
      </w:r>
      <w:r>
        <w:t xml:space="preserve"> argument</w:t>
      </w:r>
      <w:r w:rsidR="007D7640">
        <w:t xml:space="preserve"> relies on respecting a </w:t>
      </w:r>
      <w:r w:rsidR="00662EFB">
        <w:t xml:space="preserve">UTPR </w:t>
      </w:r>
      <w:r w:rsidR="007D7640">
        <w:t>jurisdiction’s assertion that the</w:t>
      </w:r>
      <w:r>
        <w:t xml:space="preserve"> Top-Up Tax </w:t>
      </w:r>
      <w:r w:rsidR="007D7640">
        <w:t>it seeks to impose under its</w:t>
      </w:r>
      <w:r>
        <w:t xml:space="preserve"> UTPR i</w:t>
      </w:r>
      <w:r w:rsidR="007D7640">
        <w:t>s a tax on the constituent entity upon which the tax</w:t>
      </w:r>
      <w:r>
        <w:t xml:space="preserve"> is i</w:t>
      </w:r>
      <w:r w:rsidR="00662EFB">
        <w:t xml:space="preserve">mposed.  </w:t>
      </w:r>
    </w:p>
    <w:p w14:paraId="5CBD1B5D" w14:textId="77777777" w:rsidR="00662EFB" w:rsidRDefault="00662EFB" w:rsidP="004C262E">
      <w:pPr>
        <w:jc w:val="both"/>
      </w:pPr>
    </w:p>
    <w:p w14:paraId="5DCFB253" w14:textId="1BC267BC" w:rsidR="004C262E" w:rsidRDefault="00662EFB" w:rsidP="004C262E">
      <w:pPr>
        <w:jc w:val="both"/>
      </w:pPr>
      <w:r>
        <w:t>A less formalistic analysis of</w:t>
      </w:r>
      <w:r w:rsidR="004C262E">
        <w:t xml:space="preserve"> UTPR could take the view that U</w:t>
      </w:r>
      <w:r w:rsidR="007D7640">
        <w:t>TPR is a tax on the income of con</w:t>
      </w:r>
      <w:r w:rsidR="004C262E">
        <w:t>s</w:t>
      </w:r>
      <w:r w:rsidR="007D7640">
        <w:t>tituent entities</w:t>
      </w:r>
      <w:r w:rsidR="004C262E">
        <w:t xml:space="preserve"> in a low</w:t>
      </w:r>
      <w:r w:rsidR="009E06A4">
        <w:t>-</w:t>
      </w:r>
      <w:r w:rsidR="004C262E">
        <w:t xml:space="preserve">tax jurisdiction, </w:t>
      </w:r>
      <w:r w:rsidR="009E06A4">
        <w:t xml:space="preserve">which </w:t>
      </w:r>
      <w:r w:rsidR="004C262E">
        <w:t xml:space="preserve">is conveniently imposed on an entity in a UTPR jurisdiction.  </w:t>
      </w:r>
      <w:r w:rsidR="007D7640">
        <w:t xml:space="preserve">This view is supported by the justification for imposing </w:t>
      </w:r>
      <w:r w:rsidR="007703B9">
        <w:t>UTPR in the first place.</w:t>
      </w:r>
      <w:r>
        <w:rPr>
          <w:rStyle w:val="FootnoteReference"/>
        </w:rPr>
        <w:footnoteReference w:id="176"/>
      </w:r>
      <w:r w:rsidR="007703B9">
        <w:t xml:space="preserve">  </w:t>
      </w:r>
      <w:r w:rsidR="00F670E2">
        <w:t xml:space="preserve">It is explained that UTPR </w:t>
      </w:r>
      <w:r w:rsidR="007703B9">
        <w:t xml:space="preserve">jurisdictions have </w:t>
      </w:r>
      <w:r w:rsidR="00F670E2">
        <w:t>the right to impose UTPR on resident constituent entities of an MNE Group because the MNE Group’s constituent entities in the UT</w:t>
      </w:r>
      <w:r w:rsidR="007703B9">
        <w:t>P</w:t>
      </w:r>
      <w:r w:rsidR="00F670E2">
        <w:t>R</w:t>
      </w:r>
      <w:r w:rsidR="005F0FC9">
        <w:t xml:space="preserve"> jurisdiction and its constituent entities in low-tax jurisdictions are part of the same economic unit</w:t>
      </w:r>
      <w:r w:rsidR="004E10C5">
        <w:t>.</w:t>
      </w:r>
      <w:r w:rsidR="00D70AEF">
        <w:rPr>
          <w:rStyle w:val="FootnoteReference"/>
        </w:rPr>
        <w:footnoteReference w:id="177"/>
      </w:r>
      <w:r w:rsidR="004E10C5">
        <w:t xml:space="preserve">  If UTPR computes a tax on the basis of the income of one group of entities that are part of the same economic unit and imposes the tax on another group in the same economic unit, it stands to reason that, in substance, the</w:t>
      </w:r>
      <w:r w:rsidR="000F4F38">
        <w:t xml:space="preserve"> tax is on the income of the economic </w:t>
      </w:r>
      <w:r w:rsidR="00BF4BE2">
        <w:t xml:space="preserve">unit </w:t>
      </w:r>
      <w:r w:rsidR="000F4F38">
        <w:t xml:space="preserve">(earned in the low-tax jurisdiction) and imposed on the economic </w:t>
      </w:r>
      <w:r w:rsidR="00BF4BE2">
        <w:t>unit</w:t>
      </w:r>
      <w:r w:rsidR="000F4F38">
        <w:t>, which would resemble a tax on income.  Ultimately, the question is</w:t>
      </w:r>
      <w:r w:rsidR="00BF4BE2">
        <w:t>:</w:t>
      </w:r>
      <w:r w:rsidR="000F4F38">
        <w:t xml:space="preserve"> </w:t>
      </w:r>
      <w:r w:rsidR="00BF4BE2">
        <w:t>W</w:t>
      </w:r>
      <w:r w:rsidR="000F4F38">
        <w:t>oul</w:t>
      </w:r>
      <w:r w:rsidR="00D70AEF">
        <w:t xml:space="preserve">d a treaty analysis respect a taxing jurisdiction’s </w:t>
      </w:r>
      <w:r w:rsidR="000F4F38">
        <w:t>artificial shifting of the liability for a</w:t>
      </w:r>
      <w:r w:rsidR="00D70AEF">
        <w:t>n income tax from one person to another, when the taxing jurisdiction</w:t>
      </w:r>
      <w:r w:rsidR="00F342AB">
        <w:t>’</w:t>
      </w:r>
      <w:r w:rsidR="00D70AEF">
        <w:t xml:space="preserve">s </w:t>
      </w:r>
      <w:r w:rsidR="000F4F38">
        <w:t xml:space="preserve">objective </w:t>
      </w:r>
      <w:r w:rsidR="00D70AEF">
        <w:t>in doing so is to avoid</w:t>
      </w:r>
      <w:r w:rsidR="000F4F38">
        <w:t xml:space="preserve"> the </w:t>
      </w:r>
      <w:r w:rsidR="003E3764">
        <w:t>application of the treaty</w:t>
      </w:r>
      <w:r w:rsidR="00BF4BE2">
        <w:t>?</w:t>
      </w:r>
      <w:r w:rsidR="003E3764">
        <w:t xml:space="preserve">  </w:t>
      </w:r>
      <w:r w:rsidR="00FA7CBF">
        <w:t>As we wills see below, t</w:t>
      </w:r>
      <w:r w:rsidR="00BF4BE2">
        <w:t xml:space="preserve">his question </w:t>
      </w:r>
      <w:r w:rsidR="00FA7CBF">
        <w:t xml:space="preserve">will </w:t>
      </w:r>
      <w:r w:rsidR="003E3764">
        <w:t xml:space="preserve">need to be answered again if we conclude that UTPR is a Tax Covered.  </w:t>
      </w:r>
    </w:p>
    <w:p w14:paraId="03F8F771" w14:textId="77777777" w:rsidR="007703B9" w:rsidRDefault="007703B9" w:rsidP="004C262E">
      <w:pPr>
        <w:jc w:val="both"/>
      </w:pPr>
    </w:p>
    <w:p w14:paraId="01396300" w14:textId="0C12659A" w:rsidR="004C262E" w:rsidRDefault="004C262E" w:rsidP="004C262E">
      <w:pPr>
        <w:jc w:val="both"/>
      </w:pPr>
      <w:r>
        <w:t xml:space="preserve">Taking the approach that UTPR is a tax on income that is a Tax Covered, the next question is whether its imposition is prohibited by the PE </w:t>
      </w:r>
      <w:r w:rsidR="0056522A">
        <w:t>Requirement</w:t>
      </w:r>
      <w:r>
        <w:t>.  For this portion of the analysis</w:t>
      </w:r>
      <w:r w:rsidR="00BF4BE2">
        <w:t>,</w:t>
      </w:r>
      <w:r>
        <w:t xml:space="preserve"> we distinguish two circumstances.  In one circumstance, a corporate head</w:t>
      </w:r>
      <w:r w:rsidR="00F342AB">
        <w:t xml:space="preserve"> </w:t>
      </w:r>
      <w:r>
        <w:t xml:space="preserve">office in </w:t>
      </w:r>
      <w:r w:rsidR="00D70AEF">
        <w:t>a low-tax jurisdiction operates through a permanent establishment</w:t>
      </w:r>
      <w:r>
        <w:t xml:space="preserve"> in a UTPR jurisdiction.  In the other circumstance, a corporate parent in a low-tax jurisdiction owns a corporate subsidiary in</w:t>
      </w:r>
      <w:r w:rsidR="00BF4BE2">
        <w:t xml:space="preserve"> a</w:t>
      </w:r>
      <w:r>
        <w:t xml:space="preserve"> UTPR jurisdiction.  In each circumstance, a </w:t>
      </w:r>
      <w:r w:rsidR="00BF4BE2">
        <w:t>t</w:t>
      </w:r>
      <w:r>
        <w:t xml:space="preserve">reaty is in force between the low-tax jurisdiction and the UTPR jurisdiction. </w:t>
      </w:r>
    </w:p>
    <w:p w14:paraId="1197AC47" w14:textId="77777777" w:rsidR="004C262E" w:rsidRDefault="004C262E" w:rsidP="004C262E">
      <w:pPr>
        <w:jc w:val="both"/>
      </w:pPr>
    </w:p>
    <w:p w14:paraId="02B8D8E5" w14:textId="38D0714E" w:rsidR="004C262E" w:rsidRDefault="004C262E" w:rsidP="004C262E">
      <w:pPr>
        <w:jc w:val="both"/>
      </w:pPr>
      <w:r>
        <w:t>In the first circums</w:t>
      </w:r>
      <w:r w:rsidR="00D70AEF">
        <w:t>tance, the UTPR jurisdiction imposes a tax</w:t>
      </w:r>
      <w:r>
        <w:t xml:space="preserve"> </w:t>
      </w:r>
      <w:r w:rsidR="004D5B01">
        <w:t xml:space="preserve">on the </w:t>
      </w:r>
      <w:r>
        <w:t>income of the h</w:t>
      </w:r>
      <w:r w:rsidR="004D5B01">
        <w:t>ead</w:t>
      </w:r>
      <w:r w:rsidR="00F342AB">
        <w:t xml:space="preserve"> </w:t>
      </w:r>
      <w:r>
        <w:t>office</w:t>
      </w:r>
      <w:r w:rsidR="006275BC">
        <w:t xml:space="preserve"> </w:t>
      </w:r>
      <w:r w:rsidR="00FA7CBF">
        <w:t xml:space="preserve">that is not </w:t>
      </w:r>
      <w:r w:rsidR="006275BC">
        <w:t>earned in the UTPR jurisdiction</w:t>
      </w:r>
      <w:r>
        <w:t>.  This is explicitly prohibited by th</w:t>
      </w:r>
      <w:r w:rsidR="006275BC">
        <w:t xml:space="preserve">e PE </w:t>
      </w:r>
      <w:r w:rsidR="0056522A">
        <w:t>Requirement</w:t>
      </w:r>
      <w:r w:rsidR="006275BC">
        <w:t>.  T</w:t>
      </w:r>
      <w:r>
        <w:t xml:space="preserve">he PE </w:t>
      </w:r>
      <w:r w:rsidR="0056522A">
        <w:t>Requirement</w:t>
      </w:r>
      <w:r w:rsidR="0056522A" w:rsidDel="0056522A">
        <w:t xml:space="preserve"> </w:t>
      </w:r>
      <w:r>
        <w:t>provi</w:t>
      </w:r>
      <w:r w:rsidR="006275BC">
        <w:t>des that when a nonresident has a permanent establishment</w:t>
      </w:r>
      <w:r>
        <w:t xml:space="preserve"> </w:t>
      </w:r>
      <w:r w:rsidR="006275BC">
        <w:t xml:space="preserve">in a </w:t>
      </w:r>
      <w:r>
        <w:t xml:space="preserve">jurisdiction, </w:t>
      </w:r>
      <w:r w:rsidR="006275BC">
        <w:t>the jurisdiction</w:t>
      </w:r>
      <w:r w:rsidR="004D5B01">
        <w:t>’</w:t>
      </w:r>
      <w:r w:rsidR="006275BC">
        <w:t xml:space="preserve">s right to tax the income of the nonresident is limited to the income </w:t>
      </w:r>
      <w:r w:rsidR="006275BC">
        <w:lastRenderedPageBreak/>
        <w:t>associated with the permanent establishment</w:t>
      </w:r>
      <w:r>
        <w:t xml:space="preserve">.  It is difficult to see any argument that application of UTPR in this instance would comply with the UTPR jurisdiction’s </w:t>
      </w:r>
      <w:r w:rsidR="00125FFC">
        <w:t>t</w:t>
      </w:r>
      <w:r>
        <w:t xml:space="preserve">reaty obligations.  </w:t>
      </w:r>
    </w:p>
    <w:p w14:paraId="0865718B" w14:textId="77777777" w:rsidR="004C262E" w:rsidRDefault="004C262E" w:rsidP="004C262E">
      <w:pPr>
        <w:jc w:val="both"/>
      </w:pPr>
    </w:p>
    <w:p w14:paraId="36C1A100" w14:textId="09875A90" w:rsidR="00C92E8B" w:rsidRDefault="004C262E" w:rsidP="004C262E">
      <w:pPr>
        <w:jc w:val="both"/>
      </w:pPr>
      <w:r>
        <w:t xml:space="preserve">In the second circumstance, the UTPR jurisdiction taxes a resident corporate subsidiary and can argue that the PE </w:t>
      </w:r>
      <w:r w:rsidR="0056522A">
        <w:t xml:space="preserve">Requirement </w:t>
      </w:r>
      <w:r>
        <w:t xml:space="preserve">is inapplicable under the saving clause, discussed above.  The corporate parent would argue that it does not have a </w:t>
      </w:r>
      <w:r w:rsidR="00125FFC">
        <w:t xml:space="preserve">permanent establishment </w:t>
      </w:r>
      <w:r>
        <w:t>in the UTPR jurisdiction and</w:t>
      </w:r>
      <w:r w:rsidR="00125FFC">
        <w:t>,</w:t>
      </w:r>
      <w:r>
        <w:t xml:space="preserve"> therefore, the UTPR jurisdiction is prevented from imposing UTPR on the corporate parent’s business income.  The UTPR jurisdiction would respond that it is permitted to impose a tax on the business income of the corporate parent because the tax is imposed on a resident of the UTPR jurisdiction and, under the saving clause, the PE </w:t>
      </w:r>
      <w:r w:rsidR="0056522A">
        <w:t xml:space="preserve">Requirement </w:t>
      </w:r>
      <w:r>
        <w:t xml:space="preserve">does not apply to taxes that a jurisdiction imposes on its own residents.  </w:t>
      </w:r>
      <w:r w:rsidR="004A5959">
        <w:t xml:space="preserve">Such an assertion again would raise the question: </w:t>
      </w:r>
      <w:r w:rsidR="00125FFC">
        <w:t>C</w:t>
      </w:r>
      <w:r w:rsidR="004A5959">
        <w:t xml:space="preserve">an a party to a treaty circumvent its </w:t>
      </w:r>
      <w:r w:rsidR="00C92E8B">
        <w:t xml:space="preserve">commitment not to tax </w:t>
      </w:r>
      <w:r w:rsidR="004A5959">
        <w:t xml:space="preserve">the income of one person by imposing </w:t>
      </w:r>
      <w:r w:rsidR="00C92E8B">
        <w:t>liability for the tax on a different person?</w:t>
      </w:r>
    </w:p>
    <w:p w14:paraId="3D4A585E" w14:textId="77777777" w:rsidR="00C92E8B" w:rsidRDefault="00C92E8B" w:rsidP="004C262E">
      <w:pPr>
        <w:jc w:val="both"/>
      </w:pPr>
    </w:p>
    <w:p w14:paraId="682CD926" w14:textId="13BCDCB4" w:rsidR="004C262E" w:rsidRDefault="004C262E" w:rsidP="004C262E">
      <w:pPr>
        <w:jc w:val="both"/>
      </w:pPr>
      <w:r>
        <w:t xml:space="preserve">This question </w:t>
      </w:r>
      <w:r w:rsidR="00C92E8B">
        <w:t>arose</w:t>
      </w:r>
      <w:r>
        <w:t xml:space="preserve"> in the context of India’s dividend distribution tax (</w:t>
      </w:r>
      <w:r w:rsidR="00125FFC">
        <w:t xml:space="preserve">the </w:t>
      </w:r>
      <w:r>
        <w:t>“DDT”) that was abolished in 2020.  The DDT was a tax imposed on an Indian corporation with respect to dividend</w:t>
      </w:r>
      <w:r w:rsidR="00125FFC">
        <w:t>s</w:t>
      </w:r>
      <w:r>
        <w:t xml:space="preserve"> distributed to shareholders.  India’s tax authority took the position that the </w:t>
      </w:r>
      <w:r w:rsidR="00125FFC">
        <w:t>t</w:t>
      </w:r>
      <w:r>
        <w:t xml:space="preserve">reaty rates on dividends did not apply to </w:t>
      </w:r>
      <w:r w:rsidR="00125FFC">
        <w:t xml:space="preserve">the </w:t>
      </w:r>
      <w:r>
        <w:t xml:space="preserve">DDT because </w:t>
      </w:r>
      <w:r w:rsidR="00125FFC">
        <w:t xml:space="preserve">the </w:t>
      </w:r>
      <w:r>
        <w:t>DDT was a tax on the distributing corporation</w:t>
      </w:r>
      <w:r w:rsidR="00125FFC">
        <w:t>,</w:t>
      </w:r>
      <w:r>
        <w:t xml:space="preserve"> not on the shareholder receiving the dividend.  The issue went back and forth in the Indian courts.  Some courts were of the opinion that the </w:t>
      </w:r>
      <w:r w:rsidR="00125FFC">
        <w:t xml:space="preserve">DDT </w:t>
      </w:r>
      <w:r>
        <w:t>was a tax on dividends</w:t>
      </w:r>
      <w:r w:rsidR="00125FFC">
        <w:t>,</w:t>
      </w:r>
      <w:r>
        <w:t xml:space="preserve"> and it did not matter whether liability for the tax fell on the distributing corporation or the shareholder.</w:t>
      </w:r>
      <w:r w:rsidR="00C92E8B">
        <w:rPr>
          <w:rStyle w:val="FootnoteReference"/>
        </w:rPr>
        <w:footnoteReference w:id="178"/>
      </w:r>
      <w:r>
        <w:t xml:space="preserve">  Since the tax was a tax on dividends and not a tax on the profits of the distributing corporation, </w:t>
      </w:r>
      <w:r w:rsidR="00125FFC">
        <w:t>t</w:t>
      </w:r>
      <w:r>
        <w:t xml:space="preserve">reaty rates applied.  Other courts </w:t>
      </w:r>
      <w:r w:rsidR="00C92E8B">
        <w:t>disagreed</w:t>
      </w:r>
      <w:r>
        <w:t xml:space="preserve">, finding the fact that the DDT was a tax on the Indian corporation meant that </w:t>
      </w:r>
      <w:r w:rsidR="00125FFC">
        <w:t>t</w:t>
      </w:r>
      <w:r>
        <w:t>reaty provisions were irrelevant, explaining:</w:t>
      </w:r>
    </w:p>
    <w:p w14:paraId="1B938031" w14:textId="77777777" w:rsidR="004C262E" w:rsidRDefault="004C262E" w:rsidP="004C262E">
      <w:pPr>
        <w:jc w:val="both"/>
      </w:pPr>
    </w:p>
    <w:p w14:paraId="04A9952C" w14:textId="4F6B98F1" w:rsidR="004C262E" w:rsidRDefault="004C262E" w:rsidP="009D1963">
      <w:pPr>
        <w:ind w:left="1440" w:right="1440"/>
        <w:jc w:val="both"/>
      </w:pPr>
      <w:r>
        <w:t xml:space="preserve">When the taxes are paid by the resident of India, in respect of its own liability in India, such taxation in India, in our considered view, cannot be protected or influenced by a tax treaty provision, unless a specific provision exists in the related tax treaty enabling extension of the treaty protection. </w:t>
      </w:r>
      <w:r w:rsidR="0080529C">
        <w:t xml:space="preserve"> </w:t>
      </w:r>
      <w:r>
        <w:t xml:space="preserve">Taxation is a sovereign power of the State-collection and imposition of taxes are sovereign functions. </w:t>
      </w:r>
      <w:r w:rsidR="0080529C">
        <w:t xml:space="preserve"> </w:t>
      </w:r>
      <w:r>
        <w:t xml:space="preserve">Double Taxation Avoidance Agreement </w:t>
      </w:r>
      <w:r w:rsidR="00D42BFB">
        <w:t xml:space="preserve">[(“DTAA”)] </w:t>
      </w:r>
      <w:r>
        <w:t>is in the nature of self</w:t>
      </w:r>
      <w:r w:rsidR="00234370">
        <w:t>-imposed limitations of a State’</w:t>
      </w:r>
      <w:r>
        <w:t xml:space="preserve">s inherent right to tax, and these DTAAs divide tax sources, taxable objects amongst themselves. </w:t>
      </w:r>
      <w:r w:rsidR="0080529C">
        <w:t xml:space="preserve"> </w:t>
      </w:r>
      <w:r>
        <w:t xml:space="preserve">Inherent in the self-imposed restrictions imposed by the DTAA is the fact that outside of the limitations imposed by the DTAA, the State is free to levy taxes as per its own policy choices. </w:t>
      </w:r>
      <w:r w:rsidR="0080529C">
        <w:t xml:space="preserve"> </w:t>
      </w:r>
      <w:r>
        <w:t>The dividend distribution tax, not being a tax paid by or on behalf of a resident of treaty partner jurisdiction, cannot thus be curtailed by a tax treaty provision.</w:t>
      </w:r>
      <w:r w:rsidR="00A514CB">
        <w:rPr>
          <w:rStyle w:val="FootnoteReference"/>
        </w:rPr>
        <w:footnoteReference w:id="179"/>
      </w:r>
    </w:p>
    <w:p w14:paraId="78CC6364" w14:textId="77777777" w:rsidR="004C262E" w:rsidRDefault="004C262E" w:rsidP="004C262E">
      <w:pPr>
        <w:jc w:val="both"/>
      </w:pPr>
    </w:p>
    <w:p w14:paraId="540DEC30" w14:textId="1BA707D5" w:rsidR="004C262E" w:rsidRDefault="004C262E" w:rsidP="004C262E">
      <w:pPr>
        <w:jc w:val="both"/>
      </w:pPr>
      <w:r>
        <w:lastRenderedPageBreak/>
        <w:t xml:space="preserve">Although carefully parsing these cases requires expertise in Indian tax law that this author does not in any way possess, the general controversy between Indian courts on their approaches to the interaction between </w:t>
      </w:r>
      <w:r w:rsidR="0080529C">
        <w:t>t</w:t>
      </w:r>
      <w:r>
        <w:t xml:space="preserve">reaties and the DDT appears to resonate in the UTPR context.  </w:t>
      </w:r>
      <w:r w:rsidR="00A514CB">
        <w:t>A UTPR jurisdiction imposes a</w:t>
      </w:r>
      <w:r>
        <w:t xml:space="preserve"> tax on a resident with respect to the income of a nonresident.  One</w:t>
      </w:r>
      <w:r w:rsidR="00A514CB">
        <w:t xml:space="preserve"> approach to the treaty analysis</w:t>
      </w:r>
      <w:r>
        <w:t xml:space="preserve"> is that the UTPR jurisdiction has the sovereign right to tax its own residents without limitation and the analysis stops there.  Nothing stops the UTPR jurisdiction from taxing the resident subsidiary.  </w:t>
      </w:r>
      <w:r w:rsidR="00A514CB">
        <w:t xml:space="preserve">A different approach to </w:t>
      </w:r>
      <w:r w:rsidR="002D21CB">
        <w:t xml:space="preserve">the treaty analysis is that </w:t>
      </w:r>
      <w:r>
        <w:t xml:space="preserve">substance should play more of a role and that </w:t>
      </w:r>
      <w:r w:rsidR="00175BE0">
        <w:t>t</w:t>
      </w:r>
      <w:r>
        <w:t>reaty obligations cannot be so easily circumvented by imposing a tax on the income of a nonresident on a resident.</w:t>
      </w:r>
      <w:r w:rsidR="00816876">
        <w:t xml:space="preserve">  These two views can be underst</w:t>
      </w:r>
      <w:r w:rsidR="00175BE0">
        <w:t>oo</w:t>
      </w:r>
      <w:r w:rsidR="00816876">
        <w:t>d as taking two different approach</w:t>
      </w:r>
      <w:r w:rsidR="00175BE0">
        <w:t>es</w:t>
      </w:r>
      <w:r w:rsidR="00816876">
        <w:t xml:space="preserve"> to </w:t>
      </w:r>
      <w:r w:rsidR="00175BE0">
        <w:t>the</w:t>
      </w:r>
      <w:r w:rsidR="00816876">
        <w:t xml:space="preserve"> saving clause.  One interpretation is that that </w:t>
      </w:r>
      <w:r w:rsidR="00175BE0">
        <w:t xml:space="preserve">the </w:t>
      </w:r>
      <w:r w:rsidR="00816876">
        <w:t xml:space="preserve">saving clause is a treaty’s express articulation of the principle explained in the language </w:t>
      </w:r>
      <w:r w:rsidR="00FA7CBF">
        <w:t xml:space="preserve">of the Indian court </w:t>
      </w:r>
      <w:r w:rsidR="00816876">
        <w:t xml:space="preserve">quoted above.  Specifically, treaties </w:t>
      </w:r>
      <w:r w:rsidR="00133178">
        <w:t xml:space="preserve">generally </w:t>
      </w:r>
      <w:r w:rsidR="00816876">
        <w:t>place no limit on a jurisdiction</w:t>
      </w:r>
      <w:r w:rsidR="00175BE0">
        <w:t>’</w:t>
      </w:r>
      <w:r w:rsidR="00816876">
        <w:t>s</w:t>
      </w:r>
      <w:r w:rsidR="00133178">
        <w:t xml:space="preserve"> right to tax its own residents.  Treaties only impose limited obligations on resident countries, for example, to ameliorate double taxation and not impose discriminatory taxes.  Thus, a country can shift the liability with respect to a tax from a nonresident to a resident and thereby avoid its treaty obligations.  The alternative view would be that </w:t>
      </w:r>
      <w:r w:rsidR="0012395D">
        <w:t>a saving clause means that treaties do not limit a countr</w:t>
      </w:r>
      <w:r w:rsidR="00175BE0">
        <w:t>y’s</w:t>
      </w:r>
      <w:r w:rsidR="0012395D">
        <w:t xml:space="preserve"> ability to impose tax on the basis of residence.  Granting that there are only two justifications for imposing an income tax</w:t>
      </w:r>
      <w:r w:rsidR="00175BE0">
        <w:t>,</w:t>
      </w:r>
      <w:r w:rsidR="0012395D">
        <w:t xml:space="preserve"> source and residence, treaties place a limit on </w:t>
      </w:r>
      <w:r w:rsidR="00175BE0">
        <w:t xml:space="preserve">a </w:t>
      </w:r>
      <w:r w:rsidR="0012395D">
        <w:t>jurisdiction</w:t>
      </w:r>
      <w:r w:rsidR="00175BE0">
        <w:t>’</w:t>
      </w:r>
      <w:r w:rsidR="0012395D">
        <w:t xml:space="preserve">s right to tax on the basis of source and no limit on </w:t>
      </w:r>
      <w:r w:rsidR="00175BE0">
        <w:t xml:space="preserve">a </w:t>
      </w:r>
      <w:r w:rsidR="0012395D">
        <w:t>jurisdiction</w:t>
      </w:r>
      <w:r w:rsidR="00175BE0">
        <w:t>’</w:t>
      </w:r>
      <w:r w:rsidR="0012395D">
        <w:t>s right to tax on the basis of residence.  Thus, residence jurisdiction</w:t>
      </w:r>
      <w:r w:rsidR="00130EFB">
        <w:t>s</w:t>
      </w:r>
      <w:r w:rsidR="0012395D">
        <w:t xml:space="preserve"> </w:t>
      </w:r>
      <w:r w:rsidR="00130EFB">
        <w:t xml:space="preserve">generally </w:t>
      </w:r>
      <w:r w:rsidR="0012395D">
        <w:t xml:space="preserve">are permitted to tax all income of their residents, </w:t>
      </w:r>
      <w:r w:rsidR="00EB3DC6">
        <w:t xml:space="preserve">as long as the residence jurisdiction, for example, ameliorates double taxation (e.g., through an exclusion or tax credit) and does not impose discriminatory taxes. </w:t>
      </w:r>
    </w:p>
    <w:p w14:paraId="352AC6D4" w14:textId="77777777" w:rsidR="0058083C" w:rsidRDefault="0058083C" w:rsidP="004C262E">
      <w:pPr>
        <w:jc w:val="both"/>
      </w:pPr>
    </w:p>
    <w:p w14:paraId="451A813E" w14:textId="18E15011" w:rsidR="000F01D9" w:rsidRDefault="003D2888" w:rsidP="004C262E">
      <w:pPr>
        <w:jc w:val="both"/>
      </w:pPr>
      <w:r>
        <w:t>There are loopholes in treaties through which Treaty Avoidance Regimes may pass.  For each Treaty Avoidance Regime, the jurisdiction imposing the tax will argue that the tax is not a Tax Covered</w:t>
      </w:r>
      <w:r w:rsidR="00353257">
        <w:t xml:space="preserve">.  Then, with respect to DSTs and UTPR, the taxing jurisdiction will have additional arguments </w:t>
      </w:r>
      <w:r w:rsidR="00596105">
        <w:t xml:space="preserve">to claim that the PE </w:t>
      </w:r>
      <w:r w:rsidR="0056522A">
        <w:t xml:space="preserve">Requirement </w:t>
      </w:r>
      <w:r w:rsidR="00596105">
        <w:t>does not apply.  For DSTs, taxing jurisdiction</w:t>
      </w:r>
      <w:r w:rsidR="00B92696">
        <w:t>s</w:t>
      </w:r>
      <w:r w:rsidR="00596105">
        <w:t xml:space="preserve"> would likely argue that DSTs are not a tax on profits and so they are not covered under the PE </w:t>
      </w:r>
      <w:r w:rsidR="0056522A">
        <w:t>Requirement</w:t>
      </w:r>
      <w:r w:rsidR="00596105">
        <w:t xml:space="preserve">.  With respect to UTPR, taxing jurisdictions would have a difficult time arguing that the PE </w:t>
      </w:r>
      <w:r w:rsidR="0056522A">
        <w:t xml:space="preserve">Requirement </w:t>
      </w:r>
      <w:r w:rsidR="00596105">
        <w:t xml:space="preserve">does not apply when Top-Up Tax is imposed on a permanent establishment of a nonresident.  If UTPR is imposed on a resident of the taxing jurisdiction, the </w:t>
      </w:r>
      <w:r w:rsidR="0056522A">
        <w:t>s</w:t>
      </w:r>
      <w:r w:rsidR="00002DA1">
        <w:t xml:space="preserve">aving </w:t>
      </w:r>
      <w:r w:rsidR="0056522A">
        <w:t>c</w:t>
      </w:r>
      <w:r w:rsidR="00002DA1">
        <w:t xml:space="preserve">lause may prevent the PE </w:t>
      </w:r>
      <w:r w:rsidR="0056522A">
        <w:t xml:space="preserve">Requirement </w:t>
      </w:r>
      <w:r w:rsidR="00002DA1">
        <w:t xml:space="preserve">from applying, with the question generally being whether the </w:t>
      </w:r>
      <w:r w:rsidR="0056522A">
        <w:t>s</w:t>
      </w:r>
      <w:r w:rsidR="00002DA1">
        <w:t xml:space="preserve">aving </w:t>
      </w:r>
      <w:r w:rsidR="0056522A">
        <w:t>c</w:t>
      </w:r>
      <w:r w:rsidR="00002DA1">
        <w:t xml:space="preserve">lause is a loophole for countries to circumvent their treaty commitments by imposing on a resident the liability for a tax on a nonresident. </w:t>
      </w:r>
    </w:p>
    <w:p w14:paraId="24DCF347" w14:textId="77777777" w:rsidR="00780336" w:rsidRDefault="000F01D9" w:rsidP="000F01D9">
      <w:pPr>
        <w:pStyle w:val="Heading3"/>
      </w:pPr>
      <w:r>
        <w:t>Non-Discrimination</w:t>
      </w:r>
    </w:p>
    <w:p w14:paraId="3955FE27" w14:textId="763FECE0" w:rsidR="006669B1" w:rsidRDefault="006669B1" w:rsidP="006669B1">
      <w:pPr>
        <w:jc w:val="both"/>
      </w:pPr>
      <w:r>
        <w:t xml:space="preserve">Treaties’ </w:t>
      </w:r>
      <w:r w:rsidR="00B941DB">
        <w:t>n</w:t>
      </w:r>
      <w:r>
        <w:t>on-</w:t>
      </w:r>
      <w:r w:rsidR="00B941DB">
        <w:t>d</w:t>
      </w:r>
      <w:r>
        <w:t>iscrimination provisions apply to all taxes imposed by the parties to the treaty, whether the taxes are Taxes Covered or not.</w:t>
      </w:r>
      <w:r>
        <w:rPr>
          <w:rStyle w:val="FootnoteReference"/>
        </w:rPr>
        <w:footnoteReference w:id="180"/>
      </w:r>
      <w:r>
        <w:t xml:space="preserve">  Three </w:t>
      </w:r>
      <w:r w:rsidR="00B941DB">
        <w:t>n</w:t>
      </w:r>
      <w:r>
        <w:t>on</w:t>
      </w:r>
      <w:r w:rsidR="00B941DB">
        <w:t>-</w:t>
      </w:r>
      <w:r>
        <w:t>discrimination provisions that are potentially relevant to the Treaty Avoidance Regimes are the nationality paragraph, the permanent establishment paragraph</w:t>
      </w:r>
      <w:r w:rsidR="00E86B76">
        <w:t>,</w:t>
      </w:r>
      <w:r>
        <w:t xml:space="preserve"> and the ownership paragraph.</w:t>
      </w:r>
      <w:r>
        <w:rPr>
          <w:rStyle w:val="FootnoteReference"/>
        </w:rPr>
        <w:footnoteReference w:id="181"/>
      </w:r>
      <w:r>
        <w:t xml:space="preserve">  The nationality paragraph is potentially </w:t>
      </w:r>
      <w:r>
        <w:lastRenderedPageBreak/>
        <w:t xml:space="preserve">relevant to each of the Treaty Avoidance </w:t>
      </w:r>
      <w:r w:rsidR="00E86B76">
        <w:t>Regimes</w:t>
      </w:r>
      <w:r>
        <w:t>, but as commentators have pointed out,</w:t>
      </w:r>
      <w:bookmarkStart w:id="13" w:name="_Ref149493746"/>
      <w:r>
        <w:rPr>
          <w:rStyle w:val="FootnoteReference"/>
        </w:rPr>
        <w:footnoteReference w:id="182"/>
      </w:r>
      <w:bookmarkEnd w:id="13"/>
      <w:r>
        <w:t xml:space="preserve"> </w:t>
      </w:r>
      <w:r w:rsidR="00E86B76">
        <w:t xml:space="preserve">it </w:t>
      </w:r>
      <w:r>
        <w:t>has limited practical effect.  The permanent establishment paragraph and the ownership paragraph are only relevant to UTPR and seem, by design, to prevent treaty jurisdictions from apply</w:t>
      </w:r>
      <w:r w:rsidR="00E86B76">
        <w:t>ing</w:t>
      </w:r>
      <w:r>
        <w:t xml:space="preserve"> laws like UTPR to nonresidents and their subsidiaries.</w:t>
      </w:r>
    </w:p>
    <w:p w14:paraId="3304020C" w14:textId="77777777" w:rsidR="006669B1" w:rsidRDefault="006669B1" w:rsidP="006669B1">
      <w:pPr>
        <w:pStyle w:val="Heading4"/>
        <w:spacing w:after="240"/>
      </w:pPr>
      <w:r>
        <w:t xml:space="preserve">Nationality Paragraph </w:t>
      </w:r>
    </w:p>
    <w:p w14:paraId="1E652DCC" w14:textId="5DB5F435" w:rsidR="006669B1" w:rsidRDefault="006669B1" w:rsidP="006669B1">
      <w:pPr>
        <w:spacing w:before="240" w:after="240"/>
        <w:jc w:val="both"/>
      </w:pPr>
      <w:r>
        <w:t xml:space="preserve">The prohibition against discrimination under the nationality paragraph is violated if </w:t>
      </w:r>
      <w:r w:rsidR="003A4AEE">
        <w:t xml:space="preserve">a country subjects </w:t>
      </w:r>
      <w:r>
        <w:t>a foreign national to more burdensome taxation (or taxation</w:t>
      </w:r>
      <w:r w:rsidR="003A4AEE">
        <w:t>-</w:t>
      </w:r>
      <w:r>
        <w:t>related requirements) than a domestic national “in the same circumstances.”  The “same circumstances” caveat provides a relatively expansive limitation to the application of the nationality paragraph.</w:t>
      </w:r>
      <w:r>
        <w:rPr>
          <w:rStyle w:val="FootnoteReference"/>
        </w:rPr>
        <w:footnoteReference w:id="183"/>
      </w:r>
      <w:r>
        <w:t xml:space="preserve">  That is because the same circumstance</w:t>
      </w:r>
      <w:r w:rsidR="003A4AEE">
        <w:t>s</w:t>
      </w:r>
      <w:r>
        <w:t xml:space="preserve"> limitation takes into account the circumstance</w:t>
      </w:r>
      <w:r w:rsidR="003A4AEE">
        <w:t>s</w:t>
      </w:r>
      <w:r>
        <w:t xml:space="preserve"> of the protected person.  Thus, for example, if the protected person is a nonresident</w:t>
      </w:r>
      <w:r w:rsidR="003A4AEE">
        <w:t>,</w:t>
      </w:r>
      <w:r>
        <w:t xml:space="preserve"> that person is in different circumstance</w:t>
      </w:r>
      <w:r w:rsidR="003A4AEE">
        <w:t>s</w:t>
      </w:r>
      <w:r>
        <w:t xml:space="preserve"> than a person who is a resident.</w:t>
      </w:r>
      <w:r>
        <w:rPr>
          <w:rStyle w:val="FootnoteReference"/>
        </w:rPr>
        <w:footnoteReference w:id="184"/>
      </w:r>
      <w:r>
        <w:t xml:space="preserve">  As a result, the nationality paragraph generally does not prevent jurisdictions from taxing nonresidents more harshly than residents.</w:t>
      </w:r>
      <w:r>
        <w:rPr>
          <w:rStyle w:val="FootnoteReference"/>
        </w:rPr>
        <w:footnoteReference w:id="185"/>
      </w:r>
      <w:r>
        <w:t xml:space="preserve">  Similarly, the U.S. Model Treaty expressly distinguishes the circumstances of U.S. nationals, who are subject to taxation on their worldwide income, from the circumstances of </w:t>
      </w:r>
      <w:r w:rsidR="003A4AEE">
        <w:t xml:space="preserve">foreign </w:t>
      </w:r>
      <w:r>
        <w:t>nationals who are not.</w:t>
      </w:r>
      <w:r>
        <w:rPr>
          <w:rStyle w:val="FootnoteReference"/>
        </w:rPr>
        <w:footnoteReference w:id="186"/>
      </w:r>
      <w:r>
        <w:t xml:space="preserve">  The principle this reflects is that the tax circumstance</w:t>
      </w:r>
      <w:r w:rsidR="003A4AEE">
        <w:t>s</w:t>
      </w:r>
      <w:r>
        <w:t xml:space="preserve"> of a protected person </w:t>
      </w:r>
      <w:r w:rsidR="003A4AEE">
        <w:t xml:space="preserve">are </w:t>
      </w:r>
      <w:r>
        <w:t xml:space="preserve">relevant to determine whether protection under the nationality paragraph is available.  </w:t>
      </w:r>
    </w:p>
    <w:p w14:paraId="2A9A9ED0" w14:textId="2FF2FEA3" w:rsidR="006669B1" w:rsidRDefault="006669B1" w:rsidP="006669B1">
      <w:pPr>
        <w:jc w:val="both"/>
      </w:pPr>
      <w:r>
        <w:t>For this reason, the same circumstances caveat renders the nationality paragraph inapplicable in most situations involving the taxation of business entities, as the distinction between the ways that foreign and domestic entities are taxed almost always depends on residence.</w:t>
      </w:r>
      <w:r>
        <w:rPr>
          <w:rStyle w:val="FootnoteReference"/>
        </w:rPr>
        <w:footnoteReference w:id="187"/>
      </w:r>
      <w:r>
        <w:t xml:space="preserve">  Nevertheless, when the disparate treatment of domestic and foreign nationals is not relevant to a circumstance, such as residence, the difference in such circumstance between the domestic and foreign nationals does not trigger the same circumstances limitation.</w:t>
      </w:r>
      <w:r>
        <w:rPr>
          <w:rStyle w:val="FootnoteReference"/>
        </w:rPr>
        <w:footnoteReference w:id="188"/>
      </w:r>
      <w:r>
        <w:t xml:space="preserve">  </w:t>
      </w:r>
    </w:p>
    <w:p w14:paraId="08CB51C8" w14:textId="77777777" w:rsidR="006669B1" w:rsidRDefault="006669B1" w:rsidP="006669B1">
      <w:pPr>
        <w:jc w:val="both"/>
      </w:pPr>
    </w:p>
    <w:p w14:paraId="7B0D0C51" w14:textId="0CFD5491" w:rsidR="006669B1" w:rsidRDefault="006669B1" w:rsidP="006669B1">
      <w:pPr>
        <w:jc w:val="both"/>
      </w:pPr>
      <w:r>
        <w:t xml:space="preserve">Because of the very limited applicability </w:t>
      </w:r>
      <w:r w:rsidR="00B73E71">
        <w:t>o</w:t>
      </w:r>
      <w:r>
        <w:t xml:space="preserve">f the nationality provision, especially in the context of business entities, it seems unlikely that it could apply to challenge any of the Treaty Avoidance </w:t>
      </w:r>
      <w:r w:rsidR="00B73E71">
        <w:t>Regimes</w:t>
      </w:r>
      <w:r>
        <w:t xml:space="preserve">.  Countries with DSTs generally apply their DSTs both to residents and nonresidents, rendering this issue of discrimination potentially moot from the outset.  India, we have noted, applies its DST-equivalent taxes only to nonresidents, but, because residents and nonresidents are </w:t>
      </w:r>
      <w:r>
        <w:lastRenderedPageBreak/>
        <w:t>not “in the same circumstance</w:t>
      </w:r>
      <w:r w:rsidR="00B73E71">
        <w:t>s</w:t>
      </w:r>
      <w:r>
        <w:t xml:space="preserve">,” protection under the nationality provision is generally not available.  </w:t>
      </w:r>
    </w:p>
    <w:p w14:paraId="3E9E7523" w14:textId="77777777" w:rsidR="006669B1" w:rsidRDefault="006669B1" w:rsidP="006669B1">
      <w:pPr>
        <w:jc w:val="both"/>
      </w:pPr>
    </w:p>
    <w:p w14:paraId="6000A757" w14:textId="7AA3E08D" w:rsidR="006669B1" w:rsidRDefault="003303AA" w:rsidP="006669B1">
      <w:pPr>
        <w:jc w:val="both"/>
      </w:pPr>
      <w:r>
        <w:t xml:space="preserve">The </w:t>
      </w:r>
      <w:r w:rsidR="006669B1">
        <w:t>DPT expressly targets nonresidents and thus will often cause a difference in treatment between UK nationals and non-UK nationals.  Again</w:t>
      </w:r>
      <w:r>
        <w:t>,</w:t>
      </w:r>
      <w:r w:rsidR="006669B1">
        <w:t xml:space="preserve"> though, such disparate treatment generally would not seem to provide grounds for relief under the nationality paragraph because nonresidents are not “in the same circumstance</w:t>
      </w:r>
      <w:r>
        <w:t>s</w:t>
      </w:r>
      <w:r w:rsidR="006669B1">
        <w:t xml:space="preserve">” as residents. </w:t>
      </w:r>
    </w:p>
    <w:p w14:paraId="14209677" w14:textId="77777777" w:rsidR="006669B1" w:rsidRDefault="006669B1" w:rsidP="006669B1">
      <w:pPr>
        <w:jc w:val="both"/>
      </w:pPr>
    </w:p>
    <w:p w14:paraId="41390F40" w14:textId="7BA6B67B" w:rsidR="006669B1" w:rsidRDefault="006669B1" w:rsidP="006669B1">
      <w:pPr>
        <w:jc w:val="both"/>
      </w:pPr>
      <w:r>
        <w:t>The nationality paragraph also likely does not provide protection against UTPR</w:t>
      </w:r>
      <w:r w:rsidR="0019033B">
        <w:t xml:space="preserve">, </w:t>
      </w:r>
      <w:r>
        <w:t xml:space="preserve">but the reason bears elaboration.  A country that enacts UTPR is saying that a nonresident can come to </w:t>
      </w:r>
      <w:r w:rsidR="0019033B">
        <w:t xml:space="preserve">the </w:t>
      </w:r>
      <w:r>
        <w:t xml:space="preserve">country to do business through a permanent establishment or a resident company, but, if </w:t>
      </w:r>
      <w:r w:rsidR="0019033B">
        <w:t>the nonresident does</w:t>
      </w:r>
      <w:r>
        <w:t xml:space="preserve">, </w:t>
      </w:r>
      <w:r w:rsidR="0019033B">
        <w:t xml:space="preserve">the country </w:t>
      </w:r>
      <w:r>
        <w:t xml:space="preserve">will subject the permanent establishment or resident company to a higher tax burden if </w:t>
      </w:r>
      <w:r w:rsidR="0019033B">
        <w:t xml:space="preserve">the country </w:t>
      </w:r>
      <w:r>
        <w:t>think</w:t>
      </w:r>
      <w:r w:rsidR="0019033B">
        <w:t>s</w:t>
      </w:r>
      <w:r>
        <w:t xml:space="preserve"> </w:t>
      </w:r>
      <w:r w:rsidR="0019033B">
        <w:t xml:space="preserve">the nonresident </w:t>
      </w:r>
      <w:r>
        <w:t>do</w:t>
      </w:r>
      <w:r w:rsidR="0019033B">
        <w:t>es</w:t>
      </w:r>
      <w:r>
        <w:t xml:space="preserve"> not pay enough tax.  UTPR expressly targets specific jurisdictions.  For example, a U.S. jurisdictional Top-Up Tax that is imposed on a permanent establishment of a U.S. company operating in a UTPR jurisdiction can be viewed as a tax targeting U.S. nationals.  However, a UTPR jurisdiction could respond that it only targets U.S. nationals to the extent that U.S. nationals are subject to lower tax rates than nationals of the UTPR jurisdiction.  Thus, U.S. nationals and UTPR</w:t>
      </w:r>
      <w:r w:rsidR="0019033B">
        <w:t>-</w:t>
      </w:r>
      <w:r>
        <w:t>jurisdiction nationals are not in the “same circumstance</w:t>
      </w:r>
      <w:r w:rsidR="0019033B">
        <w:t>s</w:t>
      </w:r>
      <w:r>
        <w:t xml:space="preserve">.”  </w:t>
      </w:r>
    </w:p>
    <w:p w14:paraId="450AD0AF" w14:textId="77777777" w:rsidR="006669B1" w:rsidRDefault="006669B1" w:rsidP="006669B1">
      <w:pPr>
        <w:pStyle w:val="Heading4"/>
      </w:pPr>
      <w:r>
        <w:t>The Permanent Establishment and Ownership Paragraphs</w:t>
      </w:r>
    </w:p>
    <w:p w14:paraId="4AF49986" w14:textId="11D50D60" w:rsidR="006669B1" w:rsidRDefault="006669B1" w:rsidP="006669B1">
      <w:pPr>
        <w:spacing w:before="240"/>
        <w:jc w:val="both"/>
      </w:pPr>
      <w:r>
        <w:t>UTPR would appear to run into conflict with the permanent establishment paragraph and the ownership paragraph.  That is principally because, unlike the nationality paragraph, these two paragraphs do not take into consideration the circumstance</w:t>
      </w:r>
      <w:r w:rsidR="0019033B">
        <w:t>s</w:t>
      </w:r>
      <w:r>
        <w:t xml:space="preserve"> of the protected person</w:t>
      </w:r>
      <w:r w:rsidR="0019033B">
        <w:t xml:space="preserve"> (i.e., the </w:t>
      </w:r>
      <w:r w:rsidR="007143FE">
        <w:t>nonresident</w:t>
      </w:r>
      <w:r w:rsidR="0019033B">
        <w:t>)</w:t>
      </w:r>
      <w:r>
        <w:t xml:space="preserve">, instead </w:t>
      </w:r>
      <w:r w:rsidR="0019033B">
        <w:t xml:space="preserve">they </w:t>
      </w:r>
      <w:r>
        <w:t>only tak</w:t>
      </w:r>
      <w:r w:rsidR="0019033B">
        <w:t>e</w:t>
      </w:r>
      <w:r>
        <w:t xml:space="preserve"> into consideration the circumstance</w:t>
      </w:r>
      <w:r w:rsidR="0019033B">
        <w:t>s</w:t>
      </w:r>
      <w:r>
        <w:t xml:space="preserve"> of the permanent establishment or resident company. </w:t>
      </w:r>
    </w:p>
    <w:p w14:paraId="24B27C41" w14:textId="77777777" w:rsidR="006669B1" w:rsidRDefault="006669B1" w:rsidP="006669B1">
      <w:pPr>
        <w:jc w:val="both"/>
      </w:pPr>
    </w:p>
    <w:p w14:paraId="6E558388" w14:textId="2ED54DBD" w:rsidR="006669B1" w:rsidRDefault="006669B1" w:rsidP="006669B1">
      <w:pPr>
        <w:jc w:val="both"/>
      </w:pPr>
      <w:r>
        <w:t xml:space="preserve">The prohibition against discrimination under the permanent establishment paragraph is violated if a jurisdiction levies a tax on the permanent establishment of a nonresident </w:t>
      </w:r>
      <w:r w:rsidR="0019033B">
        <w:t xml:space="preserve">less favorably </w:t>
      </w:r>
      <w:r>
        <w:t>as compared to a business carried on by a resident of the jurisdiction “carrying on the same activities.”</w:t>
      </w:r>
      <w:r>
        <w:rPr>
          <w:rStyle w:val="FootnoteReference"/>
        </w:rPr>
        <w:footnoteReference w:id="189"/>
      </w:r>
      <w:r>
        <w:t xml:space="preserve">  This provision calls for a comparison between the tax levied on the permanent establishment and the tax that would be levied on a local business.  The circumstances of the protected nonresident are irrelevant.  Thus, if a jurisdiction levies an extra tax on a permanent establishment of nonresident because the jurisdiction believes that the nonresident is undertaxed, such a tax would appear to be discriminatory under the permanent establishment paragraph.  </w:t>
      </w:r>
    </w:p>
    <w:p w14:paraId="61A3E1E7" w14:textId="77777777" w:rsidR="006669B1" w:rsidRDefault="006669B1" w:rsidP="006669B1">
      <w:pPr>
        <w:jc w:val="both"/>
      </w:pPr>
    </w:p>
    <w:p w14:paraId="671E5187" w14:textId="1034B2F9" w:rsidR="006669B1" w:rsidRDefault="006669B1" w:rsidP="006669B1">
      <w:pPr>
        <w:jc w:val="both"/>
      </w:pPr>
      <w:r>
        <w:t>Consider, for example, USP, a U.S. corporation, that operates PE, a permanent establishment in the Netherlands.  The Netherlands has adopted Pillar II and the U</w:t>
      </w:r>
      <w:r w:rsidR="00DB0DE4">
        <w:t>nited States</w:t>
      </w:r>
      <w:r>
        <w:t xml:space="preserve"> has not.  The Netherlands imposes on PE: (i) $20 of tax with respect to the profits of PE, and (ii) $100 of Top-Up Tax with respect to the undertaxed income of USP.  If USP were a resident of the Netherlands carrying on the same business, USP would have been subject to </w:t>
      </w:r>
      <w:r w:rsidR="00926C9A">
        <w:t xml:space="preserve">only </w:t>
      </w:r>
      <w:r>
        <w:t xml:space="preserve">$20 of </w:t>
      </w:r>
      <w:r w:rsidR="00DB0DE4">
        <w:t xml:space="preserve">Dutch </w:t>
      </w:r>
      <w:r>
        <w:t xml:space="preserve">tax, not $120.  Although a resident of the Netherlands (e.g., a Netherlands corporation) </w:t>
      </w:r>
      <w:r w:rsidR="00DB0DE4">
        <w:t xml:space="preserve">also </w:t>
      </w:r>
      <w:r>
        <w:t xml:space="preserve">can be subject to UTPR, the comparison called for by the permanent establishment paragraph is between a nonresident operating a permanent establishment and a resident operating a local business, not </w:t>
      </w:r>
      <w:r>
        <w:lastRenderedPageBreak/>
        <w:t>between a nonresident operating a permanent establishment and a nonresident who owns a resident operating a local business.</w:t>
      </w:r>
      <w:r>
        <w:rPr>
          <w:rStyle w:val="FootnoteReference"/>
        </w:rPr>
        <w:footnoteReference w:id="190"/>
      </w:r>
      <w:r>
        <w:t xml:space="preserve">  Thus, UTPR appears to result in discriminatory tax treatment, as the Netherlands imposes harsher treatment on a nonresident permanent establishment than on a resident business.  </w:t>
      </w:r>
    </w:p>
    <w:p w14:paraId="112A967E" w14:textId="77777777" w:rsidR="006669B1" w:rsidRDefault="006669B1" w:rsidP="006669B1">
      <w:pPr>
        <w:jc w:val="both"/>
      </w:pPr>
    </w:p>
    <w:p w14:paraId="29DC0936" w14:textId="023C4471" w:rsidR="006669B1" w:rsidRDefault="006669B1" w:rsidP="006669B1">
      <w:pPr>
        <w:jc w:val="both"/>
      </w:pPr>
      <w:r>
        <w:t xml:space="preserve">Essentially the same analysis would appear to apply with respect to the ownership paragraph.  The prohibition against discrimination under the ownership paragraph is violated if a jurisdiction subjects a resident enterprise (e.g., a domestic corporation) that is owned, directly or indirectly, by a nonresident to more burdensome taxation as compared </w:t>
      </w:r>
      <w:r w:rsidR="00926C9A">
        <w:t xml:space="preserve">to </w:t>
      </w:r>
      <w:r>
        <w:t>“other similar enterprises” that are residents of the jurisdiction.</w:t>
      </w:r>
      <w:r>
        <w:rPr>
          <w:rStyle w:val="FootnoteReference"/>
        </w:rPr>
        <w:footnoteReference w:id="191"/>
      </w:r>
      <w:r>
        <w:t xml:space="preserve">  Here again, the situation of the nonresident is irrelevant</w:t>
      </w:r>
      <w:r w:rsidR="00926C9A">
        <w:t xml:space="preserve">. </w:t>
      </w:r>
      <w:r>
        <w:t xml:space="preserve"> </w:t>
      </w:r>
      <w:r w:rsidR="00926C9A">
        <w:t>A</w:t>
      </w:r>
      <w:r>
        <w:t>s a result</w:t>
      </w:r>
      <w:r w:rsidR="00926C9A">
        <w:t>,</w:t>
      </w:r>
      <w:r>
        <w:t xml:space="preserve"> an extra tax </w:t>
      </w:r>
      <w:r w:rsidR="00DF6170">
        <w:t xml:space="preserve">that </w:t>
      </w:r>
      <w:r>
        <w:t xml:space="preserve">a jurisdiction would impose on a domestic </w:t>
      </w:r>
      <w:r w:rsidR="00926C9A">
        <w:t xml:space="preserve">corporation </w:t>
      </w:r>
      <w:r>
        <w:t xml:space="preserve">owned by nonresident, because the jurisdiction believes that the nonresident is undertaxed, would appear to be discriminatory.  Consider the same example as the one above, except that USP owns all of the stock of Dutch BV. </w:t>
      </w:r>
      <w:r w:rsidR="00926C9A">
        <w:t xml:space="preserve"> </w:t>
      </w:r>
      <w:r>
        <w:t xml:space="preserve">Here, the analysis calls for a comparison between the tax imposed on Dutch BV and </w:t>
      </w:r>
      <w:r w:rsidR="00926C9A">
        <w:t xml:space="preserve">the </w:t>
      </w:r>
      <w:r>
        <w:t>tax that would be imposed on Dutch BV if it were owned by a Dutch resident.</w:t>
      </w:r>
      <w:r>
        <w:rPr>
          <w:rStyle w:val="FootnoteReference"/>
        </w:rPr>
        <w:footnoteReference w:id="192"/>
      </w:r>
      <w:r>
        <w:t xml:space="preserve">  The Netherlands imposed $120 of tax on Dutch BV, but would have only imposed $20 if Dutch </w:t>
      </w:r>
      <w:r w:rsidR="00926C9A">
        <w:t xml:space="preserve">BV </w:t>
      </w:r>
      <w:r>
        <w:t xml:space="preserve">was owned by a </w:t>
      </w:r>
      <w:r w:rsidR="00926C9A">
        <w:t>Dutch</w:t>
      </w:r>
      <w:r>
        <w:t xml:space="preserve"> resident.  Thus, UTPR appears to result in discriminatory tax treatment connected to USP’s ownership.</w:t>
      </w:r>
    </w:p>
    <w:p w14:paraId="795A2140" w14:textId="77777777" w:rsidR="006669B1" w:rsidRDefault="006669B1" w:rsidP="006669B1">
      <w:pPr>
        <w:jc w:val="both"/>
      </w:pPr>
    </w:p>
    <w:p w14:paraId="11BA7CC7" w14:textId="2EC5F970" w:rsidR="006669B1" w:rsidRPr="0088316D" w:rsidRDefault="006669B1" w:rsidP="006669B1">
      <w:pPr>
        <w:jc w:val="both"/>
      </w:pPr>
      <w:r>
        <w:t>It should be noted that</w:t>
      </w:r>
      <w:r w:rsidR="00926C9A">
        <w:t>,</w:t>
      </w:r>
      <w:r>
        <w:t xml:space="preserve"> in the view of the U</w:t>
      </w:r>
      <w:r w:rsidR="00926C9A">
        <w:t xml:space="preserve">nited </w:t>
      </w:r>
      <w:r>
        <w:t>S</w:t>
      </w:r>
      <w:r w:rsidR="00926C9A">
        <w:t>tates</w:t>
      </w:r>
      <w:r>
        <w:t>, a tax provision is not discriminatory under the permanent establishment and the ownership paragraphs when there are difference</w:t>
      </w:r>
      <w:r w:rsidR="00926C9A">
        <w:t>s</w:t>
      </w:r>
      <w:r>
        <w:t xml:space="preserve"> in the taxation of nonresident</w:t>
      </w:r>
      <w:r w:rsidR="00926C9A">
        <w:t>-</w:t>
      </w:r>
      <w:r>
        <w:t>owned business</w:t>
      </w:r>
      <w:r w:rsidR="00926C9A">
        <w:t>es</w:t>
      </w:r>
      <w:r>
        <w:t xml:space="preserve"> for reasons that are germane to the ability of the U</w:t>
      </w:r>
      <w:r w:rsidR="00926C9A">
        <w:t>nited States</w:t>
      </w:r>
      <w:r>
        <w:t xml:space="preserve"> to tax the permanent establishment or resident company.  The Technical Explanation </w:t>
      </w:r>
      <w:r w:rsidR="00926C9A">
        <w:t xml:space="preserve">to the U.S. Model Treaty </w:t>
      </w:r>
      <w:r>
        <w:t>explains the reference to “same activities,” with respect to the permanent establishment paragraph, and “similar enterprises,” with respect to the ownership paragraph, mean that there is no discrimination when the difference in treatment is “directly related to a tax-relevant difference in the situations of the domestic and foreign persons being compared.”</w:t>
      </w:r>
      <w:r>
        <w:rPr>
          <w:rStyle w:val="FootnoteReference"/>
        </w:rPr>
        <w:footnoteReference w:id="193"/>
      </w:r>
      <w:r>
        <w:t xml:space="preserve">  In this context, a “tax</w:t>
      </w:r>
      <w:r w:rsidR="00A16039">
        <w:t>-</w:t>
      </w:r>
      <w:r>
        <w:t xml:space="preserve">relevant difference in </w:t>
      </w:r>
      <w:r w:rsidR="00A16039">
        <w:t xml:space="preserve">the </w:t>
      </w:r>
      <w:r>
        <w:t xml:space="preserve">situations” refers to a difference in </w:t>
      </w:r>
      <w:r w:rsidR="00A16039">
        <w:t xml:space="preserve">the </w:t>
      </w:r>
      <w:r>
        <w:t xml:space="preserve">situations with respect to a jurisdiction’s ability to impose or </w:t>
      </w:r>
      <w:r w:rsidRPr="00053BE6">
        <w:rPr>
          <w:szCs w:val="24"/>
        </w:rPr>
        <w:t>collect tax that necessitates different treatment between two taxpayers who otherwise are treated the same.</w:t>
      </w:r>
      <w:r>
        <w:rPr>
          <w:rStyle w:val="FootnoteReference"/>
          <w:szCs w:val="24"/>
        </w:rPr>
        <w:footnoteReference w:id="194"/>
      </w:r>
      <w:r w:rsidRPr="00053BE6">
        <w:rPr>
          <w:szCs w:val="24"/>
        </w:rPr>
        <w:t xml:space="preserve">  This principle is reflected in three examples discussed in the Technical Explanation. </w:t>
      </w:r>
    </w:p>
    <w:p w14:paraId="3A51A0C1" w14:textId="77777777" w:rsidR="006669B1" w:rsidRPr="00053BE6" w:rsidRDefault="006669B1" w:rsidP="006669B1">
      <w:pPr>
        <w:jc w:val="both"/>
        <w:rPr>
          <w:szCs w:val="24"/>
        </w:rPr>
      </w:pPr>
    </w:p>
    <w:p w14:paraId="6890EA5F" w14:textId="30997DA2" w:rsidR="006669B1" w:rsidRPr="00053BE6" w:rsidRDefault="006669B1" w:rsidP="006669B1">
      <w:pPr>
        <w:jc w:val="both"/>
        <w:rPr>
          <w:szCs w:val="24"/>
        </w:rPr>
      </w:pPr>
      <w:r w:rsidRPr="00053BE6">
        <w:rPr>
          <w:szCs w:val="24"/>
        </w:rPr>
        <w:lastRenderedPageBreak/>
        <w:t xml:space="preserve">First, the Technical Explanation provides that </w:t>
      </w:r>
      <w:r w:rsidR="001543F9">
        <w:rPr>
          <w:szCs w:val="24"/>
        </w:rPr>
        <w:t>s</w:t>
      </w:r>
      <w:r w:rsidRPr="00053BE6">
        <w:rPr>
          <w:szCs w:val="24"/>
        </w:rPr>
        <w:t>ection 1446</w:t>
      </w:r>
      <w:r w:rsidR="001543F9">
        <w:rPr>
          <w:szCs w:val="24"/>
        </w:rPr>
        <w:t xml:space="preserve"> of the Internal Revenue Code of 1986, as amended, (the “Code”)</w:t>
      </w:r>
      <w:r w:rsidRPr="00053BE6">
        <w:rPr>
          <w:szCs w:val="24"/>
        </w:rPr>
        <w:t xml:space="preserve"> withholding is not discriminatory.</w:t>
      </w:r>
      <w:r>
        <w:rPr>
          <w:rStyle w:val="FootnoteReference"/>
          <w:szCs w:val="24"/>
        </w:rPr>
        <w:footnoteReference w:id="195"/>
      </w:r>
      <w:r w:rsidRPr="00053BE6">
        <w:rPr>
          <w:szCs w:val="24"/>
        </w:rPr>
        <w:t xml:space="preserve">  Section 1446 applies when a partnership has income that is effectively connected to the conduct of a U.S. trade or business.</w:t>
      </w:r>
      <w:r>
        <w:rPr>
          <w:rStyle w:val="FootnoteReference"/>
          <w:szCs w:val="24"/>
        </w:rPr>
        <w:footnoteReference w:id="196"/>
      </w:r>
      <w:r w:rsidRPr="00053BE6">
        <w:rPr>
          <w:szCs w:val="24"/>
        </w:rPr>
        <w:t xml:space="preserve">  The </w:t>
      </w:r>
      <w:r w:rsidR="00A16039">
        <w:rPr>
          <w:szCs w:val="24"/>
        </w:rPr>
        <w:t>provision</w:t>
      </w:r>
      <w:r w:rsidR="00A16039" w:rsidRPr="00053BE6">
        <w:rPr>
          <w:szCs w:val="24"/>
        </w:rPr>
        <w:t xml:space="preserve"> </w:t>
      </w:r>
      <w:r w:rsidRPr="00053BE6">
        <w:rPr>
          <w:szCs w:val="24"/>
        </w:rPr>
        <w:t>requires that the partnership withhold on payments to foreign partners.</w:t>
      </w:r>
      <w:r>
        <w:rPr>
          <w:rStyle w:val="FootnoteReference"/>
          <w:szCs w:val="24"/>
        </w:rPr>
        <w:footnoteReference w:id="197"/>
      </w:r>
      <w:r w:rsidRPr="00053BE6">
        <w:rPr>
          <w:szCs w:val="24"/>
        </w:rPr>
        <w:t xml:space="preserve">  To the extent the amount withheld is higher than the tax owed by the foreign partner, the partner is refunded the difference when the partner files </w:t>
      </w:r>
      <w:r w:rsidR="00A16039">
        <w:rPr>
          <w:szCs w:val="24"/>
        </w:rPr>
        <w:t>his</w:t>
      </w:r>
      <w:r w:rsidR="00A16039" w:rsidRPr="00053BE6">
        <w:rPr>
          <w:szCs w:val="24"/>
        </w:rPr>
        <w:t xml:space="preserve"> </w:t>
      </w:r>
      <w:r w:rsidRPr="00053BE6">
        <w:rPr>
          <w:szCs w:val="24"/>
        </w:rPr>
        <w:t>U.S. federal income tax return.</w:t>
      </w:r>
      <w:r>
        <w:rPr>
          <w:rStyle w:val="FootnoteReference"/>
          <w:szCs w:val="24"/>
        </w:rPr>
        <w:footnoteReference w:id="198"/>
      </w:r>
      <w:r w:rsidRPr="00053BE6">
        <w:rPr>
          <w:szCs w:val="24"/>
        </w:rPr>
        <w:t xml:space="preserve">  Withholding places a greater burden on the foreign person, but it is permissible because a domestic partner is easier to collect from than a foreign partner.  The relative difficulty in collecting from a foreign partner versus a domestic partner means that the foreign partner and the domestic partner are not similarly situated with respect to the ease of collection</w:t>
      </w:r>
      <w:r w:rsidR="001543F9">
        <w:rPr>
          <w:szCs w:val="24"/>
        </w:rPr>
        <w:t>.  W</w:t>
      </w:r>
      <w:r w:rsidRPr="00053BE6">
        <w:rPr>
          <w:szCs w:val="24"/>
        </w:rPr>
        <w:t>ithholding, which ease collection, applied to a foreign partner and not a domestic partner</w:t>
      </w:r>
      <w:r w:rsidR="001543F9" w:rsidRPr="001543F9">
        <w:rPr>
          <w:szCs w:val="24"/>
        </w:rPr>
        <w:t xml:space="preserve"> </w:t>
      </w:r>
      <w:r w:rsidR="001543F9" w:rsidRPr="00053BE6">
        <w:rPr>
          <w:szCs w:val="24"/>
        </w:rPr>
        <w:t>thus</w:t>
      </w:r>
      <w:r w:rsidRPr="00053BE6">
        <w:rPr>
          <w:szCs w:val="24"/>
        </w:rPr>
        <w:t xml:space="preserve"> is not discriminatory.  </w:t>
      </w:r>
    </w:p>
    <w:p w14:paraId="1A7C2BAF" w14:textId="77777777" w:rsidR="006669B1" w:rsidRPr="00053BE6" w:rsidRDefault="006669B1" w:rsidP="006669B1">
      <w:pPr>
        <w:jc w:val="both"/>
        <w:rPr>
          <w:szCs w:val="24"/>
        </w:rPr>
      </w:pPr>
    </w:p>
    <w:p w14:paraId="28A4A501" w14:textId="7880BBDC" w:rsidR="006669B1" w:rsidRPr="00053BE6" w:rsidRDefault="006669B1" w:rsidP="006669B1">
      <w:pPr>
        <w:jc w:val="both"/>
        <w:rPr>
          <w:szCs w:val="24"/>
        </w:rPr>
      </w:pPr>
      <w:r w:rsidRPr="00053BE6">
        <w:rPr>
          <w:szCs w:val="24"/>
        </w:rPr>
        <w:t>The next example involves a domestic subsidiary that either makes a liquidating distribution to a parent corporation or distributes a controlled subsidiary to a shareholder.  A domestic corporation generally does not recognize gain on a liquidating distribution to its domestic parent, under section 337, or on a distribution of a controlled subsidiary to its domestic shareholder, under section 355.  When the distribution is to a foreign parent or shareholder, the domestic distributing corporation is required to recognize gain under section 367(e).  Taxing a domestic corporation on a distribution to its foreign shareholder</w:t>
      </w:r>
      <w:r w:rsidR="001543F9">
        <w:rPr>
          <w:szCs w:val="24"/>
        </w:rPr>
        <w:t>,</w:t>
      </w:r>
      <w:r w:rsidRPr="00053BE6">
        <w:rPr>
          <w:szCs w:val="24"/>
        </w:rPr>
        <w:t xml:space="preserve"> but not on a distribution to its domestic shareholder</w:t>
      </w:r>
      <w:r w:rsidR="001543F9">
        <w:rPr>
          <w:szCs w:val="24"/>
        </w:rPr>
        <w:t>,</w:t>
      </w:r>
      <w:r w:rsidRPr="00053BE6">
        <w:rPr>
          <w:szCs w:val="24"/>
        </w:rPr>
        <w:t xml:space="preserve"> places a greater tax burden on domestic corporations owned by foreign shareholders.  The Technical Explanation provides that this outcome is not discriminatory because “a foreign-owned corporation is not similar to a domestically-owned corporation.”</w:t>
      </w:r>
      <w:r>
        <w:rPr>
          <w:rStyle w:val="FootnoteReference"/>
          <w:szCs w:val="24"/>
        </w:rPr>
        <w:footnoteReference w:id="199"/>
      </w:r>
      <w:r w:rsidRPr="00053BE6">
        <w:rPr>
          <w:szCs w:val="24"/>
        </w:rPr>
        <w:t xml:space="preserve">  In other words, with respect to nonrecognition treatment, a domestic corporation’s distribution to its domestic shareholder is different from a domestic corporation</w:t>
      </w:r>
      <w:r w:rsidR="001543F9">
        <w:rPr>
          <w:szCs w:val="24"/>
        </w:rPr>
        <w:t>’</w:t>
      </w:r>
      <w:r w:rsidRPr="00053BE6">
        <w:rPr>
          <w:szCs w:val="24"/>
        </w:rPr>
        <w:t>s distribution to its foreign shareholder.  When a domestic corporation distributes property to a domestic shareholder, a subsequent disposition of the property can still be taxed by the U</w:t>
      </w:r>
      <w:r w:rsidR="001543F9">
        <w:rPr>
          <w:szCs w:val="24"/>
        </w:rPr>
        <w:t xml:space="preserve">nited </w:t>
      </w:r>
      <w:r w:rsidRPr="00053BE6">
        <w:rPr>
          <w:szCs w:val="24"/>
        </w:rPr>
        <w:t>S</w:t>
      </w:r>
      <w:r w:rsidR="001543F9">
        <w:rPr>
          <w:szCs w:val="24"/>
        </w:rPr>
        <w:t>tates</w:t>
      </w:r>
      <w:r w:rsidRPr="00053BE6">
        <w:rPr>
          <w:szCs w:val="24"/>
        </w:rPr>
        <w:t xml:space="preserve">.  Thus, </w:t>
      </w:r>
      <w:r w:rsidR="001543F9">
        <w:rPr>
          <w:szCs w:val="24"/>
        </w:rPr>
        <w:t xml:space="preserve">the United States does not forfeit the right to tax </w:t>
      </w:r>
      <w:r w:rsidR="001543F9" w:rsidRPr="00053BE6">
        <w:rPr>
          <w:szCs w:val="24"/>
        </w:rPr>
        <w:t xml:space="preserve">the built-in gain with respect to the distributed property </w:t>
      </w:r>
      <w:r w:rsidR="001543F9">
        <w:rPr>
          <w:szCs w:val="24"/>
        </w:rPr>
        <w:t xml:space="preserve">by </w:t>
      </w:r>
      <w:r w:rsidRPr="00053BE6">
        <w:rPr>
          <w:szCs w:val="24"/>
        </w:rPr>
        <w:t xml:space="preserve">granting nonrecognition treatment to the </w:t>
      </w:r>
      <w:r w:rsidR="001543F9">
        <w:rPr>
          <w:szCs w:val="24"/>
        </w:rPr>
        <w:t>distribution</w:t>
      </w:r>
      <w:r w:rsidRPr="00053BE6">
        <w:rPr>
          <w:szCs w:val="24"/>
        </w:rPr>
        <w:t>.  This</w:t>
      </w:r>
      <w:r w:rsidR="004F59BD">
        <w:rPr>
          <w:szCs w:val="24"/>
        </w:rPr>
        <w:t xml:space="preserve"> treatment</w:t>
      </w:r>
      <w:r w:rsidRPr="00053BE6">
        <w:rPr>
          <w:szCs w:val="24"/>
        </w:rPr>
        <w:t xml:space="preserve"> means that </w:t>
      </w:r>
      <w:r w:rsidR="004F59BD">
        <w:rPr>
          <w:szCs w:val="24"/>
        </w:rPr>
        <w:t>a</w:t>
      </w:r>
      <w:r w:rsidR="004F59BD" w:rsidRPr="00053BE6">
        <w:rPr>
          <w:szCs w:val="24"/>
        </w:rPr>
        <w:t xml:space="preserve"> </w:t>
      </w:r>
      <w:r w:rsidRPr="00053BE6">
        <w:rPr>
          <w:szCs w:val="24"/>
        </w:rPr>
        <w:t xml:space="preserve">foreign-owned corporation is not similarly situated to </w:t>
      </w:r>
      <w:r>
        <w:rPr>
          <w:szCs w:val="24"/>
        </w:rPr>
        <w:t xml:space="preserve">a </w:t>
      </w:r>
      <w:r w:rsidRPr="00053BE6">
        <w:rPr>
          <w:szCs w:val="24"/>
        </w:rPr>
        <w:t>domestically-owned corporation with respect to the continuing ability of the U</w:t>
      </w:r>
      <w:r w:rsidR="004F59BD">
        <w:rPr>
          <w:szCs w:val="24"/>
        </w:rPr>
        <w:t xml:space="preserve">nited </w:t>
      </w:r>
      <w:r w:rsidRPr="00053BE6">
        <w:rPr>
          <w:szCs w:val="24"/>
        </w:rPr>
        <w:t>S</w:t>
      </w:r>
      <w:r w:rsidR="004F59BD">
        <w:rPr>
          <w:szCs w:val="24"/>
        </w:rPr>
        <w:t>tates</w:t>
      </w:r>
      <w:r w:rsidRPr="00053BE6">
        <w:rPr>
          <w:szCs w:val="24"/>
        </w:rPr>
        <w:t xml:space="preserve"> to tax </w:t>
      </w:r>
      <w:r w:rsidR="004F59BD">
        <w:rPr>
          <w:szCs w:val="24"/>
        </w:rPr>
        <w:t>subsequent</w:t>
      </w:r>
      <w:r w:rsidR="004F59BD" w:rsidRPr="00053BE6">
        <w:rPr>
          <w:szCs w:val="24"/>
        </w:rPr>
        <w:t xml:space="preserve"> </w:t>
      </w:r>
      <w:r w:rsidRPr="00053BE6">
        <w:rPr>
          <w:szCs w:val="24"/>
        </w:rPr>
        <w:t xml:space="preserve">gain </w:t>
      </w:r>
      <w:r w:rsidR="004F59BD">
        <w:rPr>
          <w:szCs w:val="24"/>
        </w:rPr>
        <w:t>recognized with respect to</w:t>
      </w:r>
      <w:r>
        <w:rPr>
          <w:szCs w:val="24"/>
        </w:rPr>
        <w:t xml:space="preserve"> distributed property.  A</w:t>
      </w:r>
      <w:r w:rsidRPr="00053BE6">
        <w:rPr>
          <w:szCs w:val="24"/>
        </w:rPr>
        <w:t>s a result, taxing the gain when the distribution is to a foreign shareholder and not to a domestic shareholder is not discriminatory.</w:t>
      </w:r>
    </w:p>
    <w:p w14:paraId="4F5AD554" w14:textId="77777777" w:rsidR="006669B1" w:rsidRPr="00053BE6" w:rsidRDefault="006669B1" w:rsidP="006669B1">
      <w:pPr>
        <w:jc w:val="both"/>
        <w:rPr>
          <w:szCs w:val="24"/>
        </w:rPr>
      </w:pPr>
    </w:p>
    <w:p w14:paraId="6AB6D9AB" w14:textId="355065C9" w:rsidR="006669B1" w:rsidRPr="00053BE6" w:rsidRDefault="006669B1" w:rsidP="006669B1">
      <w:pPr>
        <w:jc w:val="both"/>
        <w:rPr>
          <w:szCs w:val="24"/>
        </w:rPr>
      </w:pPr>
      <w:r>
        <w:rPr>
          <w:szCs w:val="24"/>
        </w:rPr>
        <w:t>T</w:t>
      </w:r>
      <w:r w:rsidRPr="00053BE6">
        <w:rPr>
          <w:szCs w:val="24"/>
        </w:rPr>
        <w:t>he Technical Explanation’s last example</w:t>
      </w:r>
      <w:r>
        <w:rPr>
          <w:szCs w:val="24"/>
        </w:rPr>
        <w:t xml:space="preserve"> discusses S corporation elections, which are available </w:t>
      </w:r>
      <w:r w:rsidRPr="00053BE6">
        <w:rPr>
          <w:szCs w:val="24"/>
        </w:rPr>
        <w:t>for domestic corporations</w:t>
      </w:r>
      <w:r>
        <w:rPr>
          <w:szCs w:val="24"/>
        </w:rPr>
        <w:t xml:space="preserve"> that are owned by U.S. individuals, but are not available when a domestic corporation is owned by</w:t>
      </w:r>
      <w:r w:rsidRPr="00053BE6">
        <w:rPr>
          <w:szCs w:val="24"/>
        </w:rPr>
        <w:t xml:space="preserve"> foreign individuals.  When a corporation makes an S </w:t>
      </w:r>
      <w:r w:rsidR="004F59BD">
        <w:rPr>
          <w:szCs w:val="24"/>
        </w:rPr>
        <w:t xml:space="preserve">corporation </w:t>
      </w:r>
      <w:r w:rsidRPr="00053BE6">
        <w:rPr>
          <w:szCs w:val="24"/>
        </w:rPr>
        <w:t>election, the corporation becomes a flow</w:t>
      </w:r>
      <w:r w:rsidR="004F59BD">
        <w:rPr>
          <w:szCs w:val="24"/>
        </w:rPr>
        <w:t>-</w:t>
      </w:r>
      <w:r w:rsidRPr="00053BE6">
        <w:rPr>
          <w:szCs w:val="24"/>
        </w:rPr>
        <w:t>through and is generally not subject to tax.  Domestic corporations o</w:t>
      </w:r>
      <w:r>
        <w:rPr>
          <w:szCs w:val="24"/>
        </w:rPr>
        <w:t xml:space="preserve">wned by foreign shareholders </w:t>
      </w:r>
      <w:r w:rsidR="004F59BD">
        <w:rPr>
          <w:szCs w:val="24"/>
        </w:rPr>
        <w:t xml:space="preserve">thus </w:t>
      </w:r>
      <w:r>
        <w:rPr>
          <w:szCs w:val="24"/>
        </w:rPr>
        <w:t>can be</w:t>
      </w:r>
      <w:r w:rsidRPr="00053BE6">
        <w:rPr>
          <w:szCs w:val="24"/>
        </w:rPr>
        <w:t xml:space="preserve"> subject to a greater tax burden because they cannot elect not to </w:t>
      </w:r>
      <w:r>
        <w:rPr>
          <w:szCs w:val="24"/>
        </w:rPr>
        <w:t>become pass</w:t>
      </w:r>
      <w:r w:rsidR="004F59BD">
        <w:rPr>
          <w:szCs w:val="24"/>
        </w:rPr>
        <w:t>-</w:t>
      </w:r>
      <w:r>
        <w:rPr>
          <w:szCs w:val="24"/>
        </w:rPr>
        <w:t>through</w:t>
      </w:r>
      <w:r w:rsidR="004F59BD">
        <w:rPr>
          <w:szCs w:val="24"/>
        </w:rPr>
        <w:t xml:space="preserve"> entitie</w:t>
      </w:r>
      <w:r>
        <w:rPr>
          <w:szCs w:val="24"/>
        </w:rPr>
        <w:t>s</w:t>
      </w:r>
      <w:r w:rsidRPr="00053BE6">
        <w:rPr>
          <w:szCs w:val="24"/>
        </w:rPr>
        <w:t xml:space="preserve">.  </w:t>
      </w:r>
      <w:r w:rsidR="004F59BD">
        <w:rPr>
          <w:szCs w:val="24"/>
        </w:rPr>
        <w:t>T</w:t>
      </w:r>
      <w:r>
        <w:rPr>
          <w:szCs w:val="24"/>
        </w:rPr>
        <w:t>he Technical Explanation</w:t>
      </w:r>
      <w:r w:rsidR="004F59BD">
        <w:rPr>
          <w:szCs w:val="24"/>
        </w:rPr>
        <w:t xml:space="preserve"> explains that the difference in treatment is not discriminatory</w:t>
      </w:r>
      <w:r w:rsidRPr="00053BE6">
        <w:rPr>
          <w:szCs w:val="24"/>
        </w:rPr>
        <w:t xml:space="preserve"> because items that flow through to a domestic shareholder are taxed on a net basis that takes into account all of the items of the shareholder, </w:t>
      </w:r>
      <w:r>
        <w:rPr>
          <w:szCs w:val="24"/>
        </w:rPr>
        <w:t>while</w:t>
      </w:r>
      <w:r w:rsidRPr="00053BE6">
        <w:rPr>
          <w:szCs w:val="24"/>
        </w:rPr>
        <w:t xml:space="preserve"> </w:t>
      </w:r>
      <w:r w:rsidR="004F59BD">
        <w:rPr>
          <w:szCs w:val="24"/>
        </w:rPr>
        <w:lastRenderedPageBreak/>
        <w:t xml:space="preserve">a </w:t>
      </w:r>
      <w:r w:rsidRPr="00053BE6">
        <w:rPr>
          <w:szCs w:val="24"/>
        </w:rPr>
        <w:t>foreign share</w:t>
      </w:r>
      <w:r>
        <w:rPr>
          <w:szCs w:val="24"/>
        </w:rPr>
        <w:t xml:space="preserve">holder generally </w:t>
      </w:r>
      <w:r w:rsidR="004F59BD">
        <w:rPr>
          <w:szCs w:val="24"/>
        </w:rPr>
        <w:t>is</w:t>
      </w:r>
      <w:r w:rsidR="004F59BD" w:rsidRPr="00053BE6">
        <w:rPr>
          <w:szCs w:val="24"/>
        </w:rPr>
        <w:t xml:space="preserve"> </w:t>
      </w:r>
      <w:r w:rsidRPr="00053BE6">
        <w:rPr>
          <w:szCs w:val="24"/>
        </w:rPr>
        <w:t>not</w:t>
      </w:r>
      <w:r>
        <w:rPr>
          <w:szCs w:val="24"/>
        </w:rPr>
        <w:t xml:space="preserve"> subject to U.S. tax on a net basis</w:t>
      </w:r>
      <w:r w:rsidRPr="00053BE6">
        <w:rPr>
          <w:szCs w:val="24"/>
        </w:rPr>
        <w:t>.  S corporation</w:t>
      </w:r>
      <w:r w:rsidR="004F59BD">
        <w:rPr>
          <w:szCs w:val="24"/>
        </w:rPr>
        <w:t xml:space="preserve"> </w:t>
      </w:r>
      <w:r w:rsidRPr="00053BE6">
        <w:rPr>
          <w:szCs w:val="24"/>
        </w:rPr>
        <w:t>mechanics are designed for the flow-through of items to net basis taxpayers and, as a result, a domestic shareholder and a foreign shareholder are not similarly situated with respect to S corporation flow-</w:t>
      </w:r>
      <w:r>
        <w:rPr>
          <w:szCs w:val="24"/>
        </w:rPr>
        <w:t>through mechanics.  Therefore, p</w:t>
      </w:r>
      <w:r w:rsidRPr="00053BE6">
        <w:rPr>
          <w:szCs w:val="24"/>
        </w:rPr>
        <w:t>ermitting S corporation elections when the corporation’s shareholders are net basis taxpayers and not permitting S corporation elections when the corporation’s shareholders are no</w:t>
      </w:r>
      <w:r w:rsidR="00406F3D">
        <w:rPr>
          <w:szCs w:val="24"/>
        </w:rPr>
        <w:t>t</w:t>
      </w:r>
      <w:r w:rsidRPr="00053BE6">
        <w:rPr>
          <w:szCs w:val="24"/>
        </w:rPr>
        <w:t xml:space="preserve"> net basis taxpayers is not discriminatory.  </w:t>
      </w:r>
    </w:p>
    <w:p w14:paraId="03C97361" w14:textId="77777777" w:rsidR="006669B1" w:rsidRDefault="006669B1" w:rsidP="006669B1">
      <w:pPr>
        <w:jc w:val="both"/>
        <w:rPr>
          <w:szCs w:val="24"/>
        </w:rPr>
      </w:pPr>
    </w:p>
    <w:p w14:paraId="5A924E5F" w14:textId="4D821603" w:rsidR="005633C2" w:rsidRPr="00053BE6" w:rsidRDefault="006669B1" w:rsidP="006669B1">
      <w:pPr>
        <w:jc w:val="both"/>
        <w:rPr>
          <w:szCs w:val="24"/>
        </w:rPr>
      </w:pPr>
      <w:r>
        <w:rPr>
          <w:szCs w:val="24"/>
        </w:rPr>
        <w:t xml:space="preserve">As reflected in the above examples, the circumstances of </w:t>
      </w:r>
      <w:r w:rsidR="00406F3D">
        <w:rPr>
          <w:szCs w:val="24"/>
        </w:rPr>
        <w:t xml:space="preserve">a </w:t>
      </w:r>
      <w:r>
        <w:rPr>
          <w:szCs w:val="24"/>
        </w:rPr>
        <w:t xml:space="preserve">nonresident cannot be used to claim that its permanent establishment or domestic corporation are not similarly situated to a relevant U.S. enterprise.  If the nonresident’s circumstances could be taken into consideration, the above examples could have simply concluded that there is no discrimination because: (a) the nonresident is not subject to tax on its worldwide income, and (b) the person to whom the nonresident is compared, a domestic person operating a U.S. business or owning a U.S. corporation, is subject to tax on </w:t>
      </w:r>
      <w:r w:rsidR="00DF6170">
        <w:rPr>
          <w:szCs w:val="24"/>
        </w:rPr>
        <w:t xml:space="preserve">its </w:t>
      </w:r>
      <w:r>
        <w:rPr>
          <w:szCs w:val="24"/>
        </w:rPr>
        <w:t>worldwide income.  Under the nationality paragraph, that is a valid distinction because the nationality paragraph calls for a comparison between the circumstances of the protected person</w:t>
      </w:r>
      <w:r w:rsidR="007143FE">
        <w:rPr>
          <w:szCs w:val="24"/>
        </w:rPr>
        <w:t>, a foreign national,</w:t>
      </w:r>
      <w:r>
        <w:rPr>
          <w:szCs w:val="24"/>
        </w:rPr>
        <w:t xml:space="preserve"> and another</w:t>
      </w:r>
      <w:r w:rsidR="00DF6170">
        <w:rPr>
          <w:szCs w:val="24"/>
        </w:rPr>
        <w:t xml:space="preserve"> </w:t>
      </w:r>
      <w:r>
        <w:rPr>
          <w:szCs w:val="24"/>
        </w:rPr>
        <w:t>person</w:t>
      </w:r>
      <w:r w:rsidR="007143FE">
        <w:rPr>
          <w:szCs w:val="24"/>
        </w:rPr>
        <w:t>, the domestic national</w:t>
      </w:r>
      <w:r>
        <w:rPr>
          <w:szCs w:val="24"/>
        </w:rPr>
        <w:t xml:space="preserve">.  The permanent establishment paragraph and the ownership paragraph call for a comparison between the circumstances of the permanent establishment or domestic corporation of </w:t>
      </w:r>
      <w:r w:rsidR="00DF6170">
        <w:rPr>
          <w:szCs w:val="24"/>
        </w:rPr>
        <w:t xml:space="preserve"> </w:t>
      </w:r>
      <w:r>
        <w:rPr>
          <w:szCs w:val="24"/>
        </w:rPr>
        <w:t>the protected person</w:t>
      </w:r>
      <w:r w:rsidR="007143FE">
        <w:rPr>
          <w:szCs w:val="24"/>
        </w:rPr>
        <w:t xml:space="preserve"> and a domestic</w:t>
      </w:r>
      <w:r>
        <w:rPr>
          <w:szCs w:val="24"/>
        </w:rPr>
        <w:t xml:space="preserve">.  In that respect, having a foreign owner may, in the Technical Explanation’s view, give rise to a dissimilar circumstance for the permanent establishment or domestic corporation as: (i) it may be more difficult for </w:t>
      </w:r>
      <w:r w:rsidR="00DF6170">
        <w:rPr>
          <w:szCs w:val="24"/>
        </w:rPr>
        <w:t>the</w:t>
      </w:r>
      <w:r>
        <w:rPr>
          <w:szCs w:val="24"/>
        </w:rPr>
        <w:t xml:space="preserve"> </w:t>
      </w:r>
      <w:r w:rsidR="007143FE">
        <w:rPr>
          <w:szCs w:val="24"/>
        </w:rPr>
        <w:t>IRS</w:t>
      </w:r>
      <w:r>
        <w:rPr>
          <w:szCs w:val="24"/>
        </w:rPr>
        <w:t xml:space="preserve"> to impose a tax on amounts distributed to a foreign owner, (ii) a distribution of property may be made outside of the U</w:t>
      </w:r>
      <w:r w:rsidR="00DF6170">
        <w:rPr>
          <w:szCs w:val="24"/>
        </w:rPr>
        <w:t>nited States’</w:t>
      </w:r>
      <w:r>
        <w:rPr>
          <w:szCs w:val="24"/>
        </w:rPr>
        <w:t xml:space="preserve"> jurisdiction to tax when distributed to a foreign owner, or (iii) flow</w:t>
      </w:r>
      <w:r w:rsidR="00DF6170">
        <w:rPr>
          <w:szCs w:val="24"/>
        </w:rPr>
        <w:t>-</w:t>
      </w:r>
      <w:r>
        <w:rPr>
          <w:szCs w:val="24"/>
        </w:rPr>
        <w:t>through mechanics of a particular U.S. tax regime may not align with the way the foreign owner is subject to U.S. tax.  All of these factors can</w:t>
      </w:r>
      <w:r w:rsidR="00DF6170">
        <w:rPr>
          <w:szCs w:val="24"/>
        </w:rPr>
        <w:t>,</w:t>
      </w:r>
      <w:r>
        <w:rPr>
          <w:szCs w:val="24"/>
        </w:rPr>
        <w:t xml:space="preserve"> and should</w:t>
      </w:r>
      <w:r w:rsidR="00DF6170">
        <w:rPr>
          <w:szCs w:val="24"/>
        </w:rPr>
        <w:t>,</w:t>
      </w:r>
      <w:r>
        <w:rPr>
          <w:szCs w:val="24"/>
        </w:rPr>
        <w:t xml:space="preserve"> be tied to the circumstances of the permanent establishment or domestic corporation</w:t>
      </w:r>
      <w:r w:rsidR="00DF6170">
        <w:rPr>
          <w:szCs w:val="24"/>
        </w:rPr>
        <w:t>,</w:t>
      </w:r>
      <w:r>
        <w:rPr>
          <w:szCs w:val="24"/>
        </w:rPr>
        <w:t xml:space="preserve"> not to the circumstances of </w:t>
      </w:r>
      <w:r w:rsidR="00DF6170">
        <w:rPr>
          <w:szCs w:val="24"/>
        </w:rPr>
        <w:t xml:space="preserve">a </w:t>
      </w:r>
      <w:r>
        <w:rPr>
          <w:szCs w:val="24"/>
        </w:rPr>
        <w:t xml:space="preserve">nonresident owner.  Under UTPR, a jurisdiction would impose a tax on a permanent establishment or </w:t>
      </w:r>
      <w:r w:rsidR="00DF6170">
        <w:rPr>
          <w:szCs w:val="24"/>
        </w:rPr>
        <w:t xml:space="preserve">domestic corporation </w:t>
      </w:r>
      <w:r>
        <w:rPr>
          <w:szCs w:val="24"/>
        </w:rPr>
        <w:t xml:space="preserve">based on the circumstances of </w:t>
      </w:r>
      <w:r w:rsidR="00DF6170">
        <w:rPr>
          <w:szCs w:val="24"/>
        </w:rPr>
        <w:t>its</w:t>
      </w:r>
      <w:r>
        <w:rPr>
          <w:szCs w:val="24"/>
        </w:rPr>
        <w:t xml:space="preserve"> nonresident owner, specifically, when such nonresident owner is low-taxed.  Such a tax imposed based on the circumstance</w:t>
      </w:r>
      <w:r w:rsidR="00DF6170">
        <w:rPr>
          <w:szCs w:val="24"/>
        </w:rPr>
        <w:t>s</w:t>
      </w:r>
      <w:r>
        <w:rPr>
          <w:szCs w:val="24"/>
        </w:rPr>
        <w:t xml:space="preserve"> of </w:t>
      </w:r>
      <w:r w:rsidR="00DF6170">
        <w:rPr>
          <w:szCs w:val="24"/>
        </w:rPr>
        <w:t xml:space="preserve">a permanent establishment or domestic corporation’s </w:t>
      </w:r>
      <w:r>
        <w:rPr>
          <w:szCs w:val="24"/>
        </w:rPr>
        <w:t xml:space="preserve">owners appears to be exactly what the permanent establishment and ownership </w:t>
      </w:r>
      <w:r w:rsidR="00DF6170">
        <w:rPr>
          <w:szCs w:val="24"/>
        </w:rPr>
        <w:t xml:space="preserve">paragraphs seek to </w:t>
      </w:r>
      <w:r>
        <w:rPr>
          <w:szCs w:val="24"/>
        </w:rPr>
        <w:t>prohibit</w:t>
      </w:r>
      <w:r w:rsidR="00EC0600" w:rsidRPr="00053BE6">
        <w:rPr>
          <w:szCs w:val="24"/>
        </w:rPr>
        <w:t xml:space="preserve">.  </w:t>
      </w:r>
    </w:p>
    <w:p w14:paraId="39D585C1" w14:textId="77777777" w:rsidR="0058083C" w:rsidRPr="00053BE6" w:rsidRDefault="0058083C" w:rsidP="0058083C">
      <w:pPr>
        <w:pStyle w:val="Heading2"/>
        <w:rPr>
          <w:szCs w:val="24"/>
        </w:rPr>
      </w:pPr>
      <w:r w:rsidRPr="00053BE6">
        <w:rPr>
          <w:szCs w:val="24"/>
        </w:rPr>
        <w:t>Compliance with Federal Nexus</w:t>
      </w:r>
    </w:p>
    <w:p w14:paraId="4F78FE86" w14:textId="77777777" w:rsidR="0058083C" w:rsidRPr="00053BE6" w:rsidRDefault="0058083C" w:rsidP="004C262E">
      <w:pPr>
        <w:jc w:val="both"/>
        <w:rPr>
          <w:szCs w:val="24"/>
        </w:rPr>
      </w:pPr>
    </w:p>
    <w:p w14:paraId="6FC94A78" w14:textId="39AE071D" w:rsidR="00D448FD" w:rsidRPr="00053BE6" w:rsidRDefault="008E1CEA" w:rsidP="00D448FD">
      <w:pPr>
        <w:jc w:val="both"/>
        <w:rPr>
          <w:szCs w:val="24"/>
        </w:rPr>
      </w:pPr>
      <w:r w:rsidRPr="00053BE6">
        <w:rPr>
          <w:szCs w:val="24"/>
        </w:rPr>
        <w:t>As discussed in Part II.A, above,</w:t>
      </w:r>
      <w:r w:rsidR="00D448FD" w:rsidRPr="00053BE6">
        <w:rPr>
          <w:szCs w:val="24"/>
        </w:rPr>
        <w:t xml:space="preserve"> States are limited under both the Due Process Clause and the Commerce Clause to taxing income that is sourced to the State.  Of course, any limitation of State power under the Commerce Clause </w:t>
      </w:r>
      <w:r w:rsidR="00105C9E">
        <w:rPr>
          <w:szCs w:val="24"/>
        </w:rPr>
        <w:t>does not apply</w:t>
      </w:r>
      <w:r w:rsidR="00105C9E" w:rsidRPr="00053BE6">
        <w:rPr>
          <w:szCs w:val="24"/>
        </w:rPr>
        <w:t xml:space="preserve"> </w:t>
      </w:r>
      <w:r w:rsidR="00D448FD" w:rsidRPr="00053BE6">
        <w:rPr>
          <w:szCs w:val="24"/>
        </w:rPr>
        <w:t xml:space="preserve">to the Federal government, as the limitation on State power under the Commerce Clause is the implication from the clause that the power to regulate interstate and international commerce is a power of the Federal government, not of State governments.  However, the Federal government is bound by the Due Process Clause of the Fifth Amendment.  </w:t>
      </w:r>
      <w:r w:rsidR="00105C9E">
        <w:rPr>
          <w:szCs w:val="24"/>
        </w:rPr>
        <w:t>The Due Process Clause of the Fifth Amendment, which applies to the Federal government, and the Due Process Clause of Fourteenth Amendment, which applies to State governments both prohibit depriving</w:t>
      </w:r>
      <w:r w:rsidR="00105C9E" w:rsidRPr="00105C9E">
        <w:rPr>
          <w:szCs w:val="24"/>
        </w:rPr>
        <w:t xml:space="preserve"> any person of life, liberty, or property, without due process of law</w:t>
      </w:r>
      <w:r w:rsidR="00105C9E">
        <w:rPr>
          <w:szCs w:val="24"/>
        </w:rPr>
        <w:t>.  However, c</w:t>
      </w:r>
      <w:r w:rsidR="00D448FD" w:rsidRPr="00053BE6">
        <w:rPr>
          <w:szCs w:val="24"/>
        </w:rPr>
        <w:t>ase Law in the early 1900</w:t>
      </w:r>
      <w:r w:rsidR="009E374D">
        <w:rPr>
          <w:szCs w:val="24"/>
        </w:rPr>
        <w:t>s</w:t>
      </w:r>
      <w:r w:rsidR="00D448FD" w:rsidRPr="00053BE6">
        <w:rPr>
          <w:szCs w:val="24"/>
        </w:rPr>
        <w:t xml:space="preserve"> established that the Due Process Clause of the Fifth Amendment does not constrain the Federal government’s taxing power the way the Due Process Clause of the Fourteenth Amendment constrains State governments’ taxing powers.  These decisions laid the groundwork for </w:t>
      </w:r>
      <w:r w:rsidR="009E374D">
        <w:rPr>
          <w:szCs w:val="24"/>
        </w:rPr>
        <w:t xml:space="preserve">the </w:t>
      </w:r>
      <w:r w:rsidR="00D448FD" w:rsidRPr="00053BE6">
        <w:rPr>
          <w:szCs w:val="24"/>
        </w:rPr>
        <w:t>Federal government to establish a system of worldwide taxation on citizens and permanent residen</w:t>
      </w:r>
      <w:r w:rsidR="007127D0">
        <w:rPr>
          <w:szCs w:val="24"/>
        </w:rPr>
        <w:t>ts</w:t>
      </w:r>
      <w:r w:rsidR="00D448FD" w:rsidRPr="00053BE6">
        <w:rPr>
          <w:szCs w:val="24"/>
        </w:rPr>
        <w:t xml:space="preserve">, taxing their income from sources both domestic and </w:t>
      </w:r>
      <w:r w:rsidR="00D448FD" w:rsidRPr="00053BE6">
        <w:rPr>
          <w:szCs w:val="24"/>
        </w:rPr>
        <w:lastRenderedPageBreak/>
        <w:t>foreign.  As discussed below</w:t>
      </w:r>
      <w:r w:rsidR="007127D0">
        <w:rPr>
          <w:szCs w:val="24"/>
        </w:rPr>
        <w:t>,</w:t>
      </w:r>
      <w:r w:rsidR="00D448FD" w:rsidRPr="00053BE6">
        <w:rPr>
          <w:szCs w:val="24"/>
        </w:rPr>
        <w:t xml:space="preserve"> this did not mean that no benefits requirement applied under the Due Process Clause of the Fifth Amendment, but it does leave unclear to what extent the benefits requirement has any teeth. </w:t>
      </w:r>
    </w:p>
    <w:p w14:paraId="183ADE19" w14:textId="77777777" w:rsidR="00D448FD" w:rsidRPr="00053BE6" w:rsidRDefault="00D448FD" w:rsidP="00D448FD">
      <w:pPr>
        <w:jc w:val="both"/>
        <w:rPr>
          <w:szCs w:val="24"/>
        </w:rPr>
      </w:pPr>
    </w:p>
    <w:p w14:paraId="25672C57" w14:textId="04A6F6E7" w:rsidR="00D448FD" w:rsidRPr="00053BE6" w:rsidRDefault="00D448FD" w:rsidP="00D448FD">
      <w:pPr>
        <w:jc w:val="both"/>
        <w:rPr>
          <w:szCs w:val="24"/>
        </w:rPr>
      </w:pPr>
      <w:r w:rsidRPr="00053BE6">
        <w:rPr>
          <w:szCs w:val="24"/>
        </w:rPr>
        <w:t>The issue of the Federal government</w:t>
      </w:r>
      <w:r w:rsidR="007127D0">
        <w:rPr>
          <w:szCs w:val="24"/>
        </w:rPr>
        <w:t>’</w:t>
      </w:r>
      <w:r w:rsidRPr="00053BE6">
        <w:rPr>
          <w:szCs w:val="24"/>
        </w:rPr>
        <w:t>s right to tax foreign</w:t>
      </w:r>
      <w:r w:rsidR="007127D0">
        <w:rPr>
          <w:szCs w:val="24"/>
        </w:rPr>
        <w:t>-</w:t>
      </w:r>
      <w:r w:rsidRPr="00053BE6">
        <w:rPr>
          <w:szCs w:val="24"/>
        </w:rPr>
        <w:t>source income arose in 1909, when Congress impose</w:t>
      </w:r>
      <w:r w:rsidR="007127D0">
        <w:rPr>
          <w:szCs w:val="24"/>
        </w:rPr>
        <w:t>d</w:t>
      </w:r>
      <w:r w:rsidRPr="00053BE6">
        <w:rPr>
          <w:szCs w:val="24"/>
        </w:rPr>
        <w:t xml:space="preserve"> an excise tax on U.S. citizens with respect to the use of foreign</w:t>
      </w:r>
      <w:r w:rsidR="007127D0">
        <w:rPr>
          <w:szCs w:val="24"/>
        </w:rPr>
        <w:t>-</w:t>
      </w:r>
      <w:r w:rsidRPr="00053BE6">
        <w:rPr>
          <w:szCs w:val="24"/>
        </w:rPr>
        <w:t xml:space="preserve">built yachts.  The first Supreme Court case challenging the tax, </w:t>
      </w:r>
      <w:r w:rsidRPr="00053BE6">
        <w:rPr>
          <w:i/>
          <w:szCs w:val="24"/>
        </w:rPr>
        <w:t>Billings v. United</w:t>
      </w:r>
      <w:r w:rsidRPr="00053BE6">
        <w:rPr>
          <w:szCs w:val="24"/>
        </w:rPr>
        <w:t xml:space="preserve"> </w:t>
      </w:r>
      <w:r w:rsidRPr="00053BE6">
        <w:rPr>
          <w:i/>
          <w:szCs w:val="24"/>
        </w:rPr>
        <w:t>States</w:t>
      </w:r>
      <w:r w:rsidRPr="00053BE6">
        <w:rPr>
          <w:szCs w:val="24"/>
        </w:rPr>
        <w:t>,</w:t>
      </w:r>
      <w:r w:rsidRPr="00053BE6">
        <w:rPr>
          <w:rStyle w:val="FootnoteReference"/>
          <w:szCs w:val="24"/>
        </w:rPr>
        <w:footnoteReference w:id="200"/>
      </w:r>
      <w:r w:rsidRPr="00053BE6">
        <w:rPr>
          <w:szCs w:val="24"/>
        </w:rPr>
        <w:t xml:space="preserve"> concerned a U.S. citizen who was domiciled in the U</w:t>
      </w:r>
      <w:r w:rsidR="007127D0">
        <w:rPr>
          <w:szCs w:val="24"/>
        </w:rPr>
        <w:t xml:space="preserve">nited </w:t>
      </w:r>
      <w:r w:rsidRPr="00053BE6">
        <w:rPr>
          <w:szCs w:val="24"/>
        </w:rPr>
        <w:t>S</w:t>
      </w:r>
      <w:r w:rsidR="007127D0">
        <w:rPr>
          <w:szCs w:val="24"/>
        </w:rPr>
        <w:t>tates</w:t>
      </w:r>
      <w:r w:rsidRPr="00053BE6">
        <w:rPr>
          <w:szCs w:val="24"/>
        </w:rPr>
        <w:t xml:space="preserve">.  In </w:t>
      </w:r>
      <w:r w:rsidRPr="00053BE6">
        <w:rPr>
          <w:i/>
          <w:szCs w:val="24"/>
        </w:rPr>
        <w:t>Billings</w:t>
      </w:r>
      <w:r w:rsidRPr="00053BE6">
        <w:rPr>
          <w:szCs w:val="24"/>
        </w:rPr>
        <w:t xml:space="preserve">, the taxpayer attempted to argue that the tax should be invalidated under the Due Process Clause </w:t>
      </w:r>
      <w:r w:rsidR="007127D0">
        <w:rPr>
          <w:szCs w:val="24"/>
        </w:rPr>
        <w:t xml:space="preserve">of the Fifth Amendment </w:t>
      </w:r>
      <w:r w:rsidRPr="00053BE6">
        <w:rPr>
          <w:szCs w:val="24"/>
        </w:rPr>
        <w:t xml:space="preserve">because it unfairly discriminated between domestic-built and foreign-built yachts.  The Supreme Court rejected this argument, holding that discrimination of this kind was permitted. </w:t>
      </w:r>
    </w:p>
    <w:p w14:paraId="021CD57C" w14:textId="77777777" w:rsidR="00D448FD" w:rsidRPr="00053BE6" w:rsidRDefault="00D448FD" w:rsidP="00D448FD">
      <w:pPr>
        <w:jc w:val="both"/>
        <w:rPr>
          <w:szCs w:val="24"/>
        </w:rPr>
      </w:pPr>
    </w:p>
    <w:p w14:paraId="27369B4A" w14:textId="6453B847" w:rsidR="00D448FD" w:rsidRPr="00053BE6" w:rsidRDefault="00D448FD" w:rsidP="00D448FD">
      <w:pPr>
        <w:jc w:val="both"/>
        <w:rPr>
          <w:szCs w:val="24"/>
        </w:rPr>
      </w:pPr>
      <w:r w:rsidRPr="00053BE6">
        <w:rPr>
          <w:szCs w:val="24"/>
        </w:rPr>
        <w:t xml:space="preserve">Then, in </w:t>
      </w:r>
      <w:r w:rsidRPr="00053BE6">
        <w:rPr>
          <w:i/>
          <w:szCs w:val="24"/>
        </w:rPr>
        <w:t>United States v. Bennett</w:t>
      </w:r>
      <w:r w:rsidRPr="00053BE6">
        <w:rPr>
          <w:szCs w:val="24"/>
        </w:rPr>
        <w:t>,</w:t>
      </w:r>
      <w:r w:rsidRPr="00053BE6">
        <w:rPr>
          <w:rStyle w:val="FootnoteReference"/>
          <w:szCs w:val="24"/>
        </w:rPr>
        <w:footnoteReference w:id="201"/>
      </w:r>
      <w:r w:rsidRPr="00053BE6">
        <w:rPr>
          <w:szCs w:val="24"/>
        </w:rPr>
        <w:t xml:space="preserve"> a taxpayer challenged the tax when the taxpayer had used her foreign-built yacht exclusively outside of the territory of the United States.  The taxpayer pointed to State tax jurisprudence to support her case.  Specifically, under the Due Process Clause of the Fourteenth Amendment, a State is not permitted to tax activity occurring outside of the State under the </w:t>
      </w:r>
      <w:r w:rsidR="00215BE7">
        <w:rPr>
          <w:szCs w:val="24"/>
        </w:rPr>
        <w:t xml:space="preserve">benefits requirement </w:t>
      </w:r>
      <w:r w:rsidRPr="00053BE6">
        <w:rPr>
          <w:szCs w:val="24"/>
        </w:rPr>
        <w:t>.  Applying that same standard, the taxpayer argued that the Federal government should not be permitted to tax activity that occurs solely outside of the United States.  In the taxpayer’s words:</w:t>
      </w:r>
    </w:p>
    <w:p w14:paraId="74F023EC" w14:textId="77777777" w:rsidR="00D448FD" w:rsidRPr="00053BE6" w:rsidRDefault="00D448FD" w:rsidP="00D448FD">
      <w:pPr>
        <w:jc w:val="both"/>
        <w:rPr>
          <w:szCs w:val="24"/>
        </w:rPr>
      </w:pPr>
    </w:p>
    <w:p w14:paraId="3B9F14DD" w14:textId="3021E0B2" w:rsidR="00D448FD" w:rsidRPr="00053BE6" w:rsidRDefault="00D448FD" w:rsidP="009D1963">
      <w:pPr>
        <w:ind w:left="1440" w:right="1440"/>
        <w:jc w:val="both"/>
        <w:rPr>
          <w:szCs w:val="24"/>
        </w:rPr>
      </w:pPr>
      <w:r w:rsidRPr="00053BE6">
        <w:rPr>
          <w:szCs w:val="24"/>
        </w:rPr>
        <w:t xml:space="preserve">It is a settled rule of constitutional law that the power to tax depends upon jurisdiction of the subject-matter of the tax. </w:t>
      </w:r>
      <w:r w:rsidR="007127D0">
        <w:rPr>
          <w:szCs w:val="24"/>
        </w:rPr>
        <w:t xml:space="preserve"> </w:t>
      </w:r>
      <w:r w:rsidRPr="00053BE6">
        <w:rPr>
          <w:szCs w:val="24"/>
        </w:rPr>
        <w:t>A long line of unbroken authority illustrates this firmly established doctrine in its various aspects, and although the cases have all arisen under state tax laws, their reasoning is applicable to and controlling in the case of a Federal tax act.</w:t>
      </w:r>
      <w:r w:rsidR="00A62B70">
        <w:rPr>
          <w:rStyle w:val="FootnoteReference"/>
          <w:szCs w:val="24"/>
        </w:rPr>
        <w:footnoteReference w:id="202"/>
      </w:r>
      <w:r w:rsidRPr="00053BE6">
        <w:rPr>
          <w:szCs w:val="24"/>
        </w:rPr>
        <w:t xml:space="preserve"> </w:t>
      </w:r>
    </w:p>
    <w:p w14:paraId="60F02D23" w14:textId="77777777" w:rsidR="00D448FD" w:rsidRPr="00053BE6" w:rsidRDefault="00D448FD" w:rsidP="00D448FD">
      <w:pPr>
        <w:jc w:val="both"/>
        <w:rPr>
          <w:szCs w:val="24"/>
        </w:rPr>
      </w:pPr>
    </w:p>
    <w:p w14:paraId="79008329" w14:textId="7AD16656" w:rsidR="00D448FD" w:rsidRPr="00053BE6" w:rsidRDefault="00D448FD" w:rsidP="00D448FD">
      <w:pPr>
        <w:jc w:val="both"/>
        <w:rPr>
          <w:szCs w:val="24"/>
        </w:rPr>
      </w:pPr>
      <w:r w:rsidRPr="00053BE6">
        <w:rPr>
          <w:szCs w:val="24"/>
        </w:rPr>
        <w:t>The taxpayer asserted that</w:t>
      </w:r>
      <w:r w:rsidR="007127D0">
        <w:rPr>
          <w:szCs w:val="24"/>
        </w:rPr>
        <w:t>,</w:t>
      </w:r>
      <w:r w:rsidRPr="00053BE6">
        <w:rPr>
          <w:szCs w:val="24"/>
        </w:rPr>
        <w:t xml:space="preserve"> in applying the </w:t>
      </w:r>
      <w:r w:rsidR="00215BE7">
        <w:rPr>
          <w:szCs w:val="24"/>
        </w:rPr>
        <w:t xml:space="preserve">benefits requirement </w:t>
      </w:r>
      <w:r w:rsidRPr="00053BE6">
        <w:rPr>
          <w:szCs w:val="24"/>
        </w:rPr>
        <w:t>, the Court had agreed that a State’s assertion of tax over commerce occurring outside of its borders was a “a mere arbitrary and unwarranted burden” when “the capacity of the taxing government to afford that benefit and protection which is the true basis of the right to tax” is not present.</w:t>
      </w:r>
      <w:r w:rsidR="00A62B70">
        <w:rPr>
          <w:rStyle w:val="FootnoteReference"/>
          <w:szCs w:val="24"/>
        </w:rPr>
        <w:footnoteReference w:id="203"/>
      </w:r>
      <w:r w:rsidRPr="00053BE6">
        <w:rPr>
          <w:szCs w:val="24"/>
        </w:rPr>
        <w:t xml:space="preserve">  In rejecting the taxpayer’s argument</w:t>
      </w:r>
      <w:r w:rsidR="007127D0">
        <w:rPr>
          <w:szCs w:val="24"/>
        </w:rPr>
        <w:t>,</w:t>
      </w:r>
      <w:r w:rsidRPr="00053BE6">
        <w:rPr>
          <w:szCs w:val="24"/>
        </w:rPr>
        <w:t xml:space="preserve"> th</w:t>
      </w:r>
      <w:r w:rsidR="007127D0">
        <w:rPr>
          <w:szCs w:val="24"/>
        </w:rPr>
        <w:t>e</w:t>
      </w:r>
      <w:r w:rsidRPr="00053BE6">
        <w:rPr>
          <w:szCs w:val="24"/>
        </w:rPr>
        <w:t xml:space="preserve"> Court distinguished between taxes imposed by State governments and taxes imposed by the Federal government, stating:</w:t>
      </w:r>
    </w:p>
    <w:p w14:paraId="23B4A7DE" w14:textId="77777777" w:rsidR="00D448FD" w:rsidRPr="00053BE6" w:rsidRDefault="00D448FD" w:rsidP="00D448FD">
      <w:pPr>
        <w:jc w:val="both"/>
        <w:rPr>
          <w:szCs w:val="24"/>
        </w:rPr>
      </w:pPr>
    </w:p>
    <w:p w14:paraId="6498BFBF" w14:textId="36B6C577" w:rsidR="00D448FD" w:rsidRPr="00053BE6" w:rsidRDefault="00D448FD" w:rsidP="009D1963">
      <w:pPr>
        <w:ind w:left="1440" w:right="1440"/>
        <w:jc w:val="both"/>
        <w:rPr>
          <w:szCs w:val="24"/>
        </w:rPr>
      </w:pPr>
      <w:r w:rsidRPr="00053BE6">
        <w:rPr>
          <w:szCs w:val="24"/>
        </w:rPr>
        <w:t xml:space="preserve">But here again the confusion of thought consists in mistaking the scope and extent of the sovereign power of the United States as a nation, and its relation to its citizens, and their relations to it. </w:t>
      </w:r>
      <w:r w:rsidR="007127D0">
        <w:rPr>
          <w:szCs w:val="24"/>
        </w:rPr>
        <w:t xml:space="preserve"> </w:t>
      </w:r>
      <w:r w:rsidRPr="00053BE6">
        <w:rPr>
          <w:szCs w:val="24"/>
        </w:rPr>
        <w:t xml:space="preserve">It presumes that government does not, by its very nature, benefit the citizen and his property wherever found. </w:t>
      </w:r>
      <w:r w:rsidR="007127D0">
        <w:rPr>
          <w:szCs w:val="24"/>
        </w:rPr>
        <w:t xml:space="preserve"> </w:t>
      </w:r>
      <w:r w:rsidRPr="00053BE6">
        <w:rPr>
          <w:szCs w:val="24"/>
        </w:rPr>
        <w:t xml:space="preserve">Indeed, the argument, while holding on to citizenship, belittles and destroys its advantages and blessings by denying the possession by government of an </w:t>
      </w:r>
      <w:r w:rsidRPr="00053BE6">
        <w:rPr>
          <w:szCs w:val="24"/>
        </w:rPr>
        <w:lastRenderedPageBreak/>
        <w:t>essential power required to make citizenship completely</w:t>
      </w:r>
      <w:r w:rsidR="0010055B" w:rsidRPr="0010055B">
        <w:rPr>
          <w:szCs w:val="24"/>
        </w:rPr>
        <w:t xml:space="preserve"> </w:t>
      </w:r>
      <w:r w:rsidR="0010055B" w:rsidRPr="00053BE6">
        <w:rPr>
          <w:szCs w:val="24"/>
        </w:rPr>
        <w:t>beneficial.</w:t>
      </w:r>
      <w:r w:rsidR="00A62B70">
        <w:rPr>
          <w:rStyle w:val="FootnoteReference"/>
          <w:szCs w:val="24"/>
        </w:rPr>
        <w:footnoteReference w:id="204"/>
      </w:r>
    </w:p>
    <w:p w14:paraId="5300E2E5" w14:textId="77777777" w:rsidR="00D448FD" w:rsidRPr="00053BE6" w:rsidRDefault="00D448FD" w:rsidP="00D448FD">
      <w:pPr>
        <w:jc w:val="both"/>
        <w:rPr>
          <w:szCs w:val="24"/>
        </w:rPr>
      </w:pPr>
    </w:p>
    <w:p w14:paraId="640D433B" w14:textId="7F8C29EB" w:rsidR="00D448FD" w:rsidRPr="00053BE6" w:rsidRDefault="00D448FD" w:rsidP="00D448FD">
      <w:pPr>
        <w:jc w:val="both"/>
        <w:rPr>
          <w:szCs w:val="24"/>
        </w:rPr>
      </w:pPr>
      <w:r w:rsidRPr="00053BE6">
        <w:rPr>
          <w:szCs w:val="24"/>
        </w:rPr>
        <w:t>The distinction the Court appears to make is that benefits conferred by a State government are limited to its borders.  Therefore, commerce occurring outside of the State does not benefit from the government of the State</w:t>
      </w:r>
      <w:r w:rsidR="00DE3EB4">
        <w:rPr>
          <w:szCs w:val="24"/>
        </w:rPr>
        <w:t>,</w:t>
      </w:r>
      <w:r w:rsidRPr="00053BE6">
        <w:rPr>
          <w:szCs w:val="24"/>
        </w:rPr>
        <w:t xml:space="preserve"> and it would be fundamentally unfair for the State to tax such activity.  The benefit of U.S. citizenship, however, applies to citizens no matter where they travel and no matter the activities in which they are engaged.  As a result, there is no fundamental unfairness for the Federal government to tax activity of a U.S. citizen, even when the activity takes place solely outside of the United States.</w:t>
      </w:r>
    </w:p>
    <w:p w14:paraId="6BD918AE" w14:textId="77777777" w:rsidR="00D448FD" w:rsidRPr="00053BE6" w:rsidRDefault="00D448FD" w:rsidP="00D448FD">
      <w:pPr>
        <w:jc w:val="both"/>
        <w:rPr>
          <w:szCs w:val="24"/>
        </w:rPr>
      </w:pPr>
    </w:p>
    <w:p w14:paraId="0294BAC9" w14:textId="109F5FD1" w:rsidR="00D448FD" w:rsidRPr="00053BE6" w:rsidRDefault="00D448FD" w:rsidP="00D448FD">
      <w:pPr>
        <w:jc w:val="both"/>
        <w:rPr>
          <w:szCs w:val="24"/>
        </w:rPr>
      </w:pPr>
      <w:r w:rsidRPr="00053BE6">
        <w:rPr>
          <w:szCs w:val="24"/>
        </w:rPr>
        <w:t xml:space="preserve">The Court reaffirmed this distinction in an income tax case, </w:t>
      </w:r>
      <w:r w:rsidRPr="00053BE6">
        <w:rPr>
          <w:i/>
          <w:szCs w:val="24"/>
        </w:rPr>
        <w:t>Cook v. Tait</w:t>
      </w:r>
      <w:r w:rsidRPr="00053BE6">
        <w:rPr>
          <w:szCs w:val="24"/>
        </w:rPr>
        <w:t>.</w:t>
      </w:r>
      <w:r w:rsidRPr="00053BE6">
        <w:rPr>
          <w:rStyle w:val="FootnoteReference"/>
          <w:szCs w:val="24"/>
        </w:rPr>
        <w:footnoteReference w:id="205"/>
      </w:r>
      <w:r w:rsidRPr="00053BE6">
        <w:rPr>
          <w:szCs w:val="24"/>
        </w:rPr>
        <w:t xml:space="preserve">  The case concerned a taxpayer who was a U.S. citizen who moved to Mexico and earned income exclusively outside of the United States.  The taxpayer asserted that </w:t>
      </w:r>
      <w:r w:rsidR="00DE3EB4">
        <w:rPr>
          <w:szCs w:val="24"/>
        </w:rPr>
        <w:t xml:space="preserve">he </w:t>
      </w:r>
      <w:r w:rsidRPr="00053BE6">
        <w:rPr>
          <w:szCs w:val="24"/>
        </w:rPr>
        <w:t xml:space="preserve">should not be obligated to file U.S. income tax returns or pay tax on the income that he earned outside of the United States.  The Court discussed the distinction that it made in </w:t>
      </w:r>
      <w:r w:rsidRPr="009D1963">
        <w:rPr>
          <w:i/>
          <w:szCs w:val="24"/>
        </w:rPr>
        <w:t>Bennett</w:t>
      </w:r>
      <w:r w:rsidRPr="00053BE6">
        <w:rPr>
          <w:szCs w:val="24"/>
        </w:rPr>
        <w:t xml:space="preserve"> between Federal and State powers to tax, quoting the language from </w:t>
      </w:r>
      <w:r w:rsidRPr="009D1963">
        <w:rPr>
          <w:i/>
          <w:szCs w:val="24"/>
        </w:rPr>
        <w:t>Bennet</w:t>
      </w:r>
      <w:r w:rsidR="00DE3EB4" w:rsidRPr="009D1963">
        <w:rPr>
          <w:i/>
          <w:szCs w:val="24"/>
        </w:rPr>
        <w:t>t</w:t>
      </w:r>
      <w:r w:rsidRPr="00053BE6">
        <w:rPr>
          <w:szCs w:val="24"/>
        </w:rPr>
        <w:t xml:space="preserve"> above and elaborating:</w:t>
      </w:r>
    </w:p>
    <w:p w14:paraId="1ECE4FF8" w14:textId="77777777" w:rsidR="00D448FD" w:rsidRPr="00053BE6" w:rsidRDefault="00D448FD" w:rsidP="00D448FD">
      <w:pPr>
        <w:jc w:val="both"/>
        <w:rPr>
          <w:szCs w:val="24"/>
        </w:rPr>
      </w:pPr>
    </w:p>
    <w:p w14:paraId="6BDE913E" w14:textId="3A1D85F2" w:rsidR="00D448FD" w:rsidRPr="00053BE6" w:rsidRDefault="00D448FD" w:rsidP="009D1963">
      <w:pPr>
        <w:ind w:left="1440" w:right="1440"/>
        <w:jc w:val="both"/>
        <w:rPr>
          <w:szCs w:val="24"/>
        </w:rPr>
      </w:pPr>
      <w:r w:rsidRPr="00053BE6">
        <w:rPr>
          <w:szCs w:val="24"/>
        </w:rPr>
        <w:t xml:space="preserve">[T]he principle was declared that the government, by its very nature, benefits the citizen and his property wherever found, and therefore has the power to make the benefit complete. </w:t>
      </w:r>
      <w:r w:rsidR="00DE3EB4">
        <w:rPr>
          <w:szCs w:val="24"/>
        </w:rPr>
        <w:t xml:space="preserve"> </w:t>
      </w:r>
      <w:r w:rsidRPr="00053BE6">
        <w:rPr>
          <w:szCs w:val="24"/>
        </w:rPr>
        <w:t xml:space="preserve">Or, to express it another way, the basis of the power to tax was not and cannot be made dependent upon the situs of the property in all cases, it being in or out of the United States, nor was not and cannot be made dependent upon the domicile of the citizen, that being in or out of the United States, but upon his relation as citizen to the United States and the relation of the latter to him as citizen. </w:t>
      </w:r>
      <w:r w:rsidR="00DE3EB4">
        <w:rPr>
          <w:szCs w:val="24"/>
        </w:rPr>
        <w:t xml:space="preserve"> </w:t>
      </w:r>
      <w:r w:rsidRPr="00053BE6">
        <w:rPr>
          <w:szCs w:val="24"/>
        </w:rPr>
        <w:t>The consequence of the relations is that the native citizen who is taxed may have domicile, and the property from which his income is derived may have situs, in a foreign country, and the tax be legal, the government having power to impose the tax.</w:t>
      </w:r>
      <w:r w:rsidR="00A62B70">
        <w:rPr>
          <w:rStyle w:val="FootnoteReference"/>
          <w:szCs w:val="24"/>
        </w:rPr>
        <w:footnoteReference w:id="206"/>
      </w:r>
    </w:p>
    <w:p w14:paraId="5476F88D" w14:textId="77777777" w:rsidR="00D448FD" w:rsidRPr="00053BE6" w:rsidRDefault="00D448FD" w:rsidP="00D448FD">
      <w:pPr>
        <w:jc w:val="both"/>
        <w:rPr>
          <w:szCs w:val="24"/>
        </w:rPr>
      </w:pPr>
    </w:p>
    <w:p w14:paraId="732A0AF7" w14:textId="1E71C2DE" w:rsidR="00D448FD" w:rsidRPr="00053BE6" w:rsidRDefault="00D448FD" w:rsidP="00D448FD">
      <w:pPr>
        <w:jc w:val="both"/>
        <w:rPr>
          <w:szCs w:val="24"/>
        </w:rPr>
      </w:pPr>
      <w:r w:rsidRPr="00053BE6">
        <w:rPr>
          <w:szCs w:val="24"/>
        </w:rPr>
        <w:t>In summary, the Court determined that residence</w:t>
      </w:r>
      <w:r w:rsidR="00DE3EB4">
        <w:rPr>
          <w:szCs w:val="24"/>
        </w:rPr>
        <w:t>-</w:t>
      </w:r>
      <w:r w:rsidRPr="00053BE6">
        <w:rPr>
          <w:szCs w:val="24"/>
        </w:rPr>
        <w:t>based taxation</w:t>
      </w:r>
      <w:r w:rsidR="00DE3EB4">
        <w:rPr>
          <w:szCs w:val="24"/>
        </w:rPr>
        <w:t>—</w:t>
      </w:r>
      <w:r w:rsidRPr="00053BE6">
        <w:rPr>
          <w:szCs w:val="24"/>
        </w:rPr>
        <w:t>taxing a resident of the United States on world-wide income</w:t>
      </w:r>
      <w:r w:rsidR="00DE3EB4">
        <w:rPr>
          <w:szCs w:val="24"/>
        </w:rPr>
        <w:t>—</w:t>
      </w:r>
      <w:r w:rsidRPr="00053BE6">
        <w:rPr>
          <w:szCs w:val="24"/>
        </w:rPr>
        <w:t>was legitimate.  In reaching this conclusion, the Court did not set aside the benefits requirement, but instead concluded that the benefit</w:t>
      </w:r>
      <w:r w:rsidR="00DE3EB4">
        <w:rPr>
          <w:szCs w:val="24"/>
        </w:rPr>
        <w:t>s</w:t>
      </w:r>
      <w:r w:rsidRPr="00053BE6">
        <w:rPr>
          <w:szCs w:val="24"/>
        </w:rPr>
        <w:t xml:space="preserve"> requirement was satisfied with respect to all income earned by a citizen of the United States.  </w:t>
      </w:r>
    </w:p>
    <w:p w14:paraId="2EF3AC74" w14:textId="77777777" w:rsidR="00D448FD" w:rsidRPr="00053BE6" w:rsidRDefault="00D448FD" w:rsidP="00D448FD">
      <w:pPr>
        <w:jc w:val="both"/>
        <w:rPr>
          <w:szCs w:val="24"/>
        </w:rPr>
      </w:pPr>
    </w:p>
    <w:p w14:paraId="552BA865" w14:textId="55C3B4AC" w:rsidR="00D448FD" w:rsidRPr="00053BE6" w:rsidRDefault="00D448FD" w:rsidP="00D448FD">
      <w:pPr>
        <w:jc w:val="both"/>
        <w:rPr>
          <w:szCs w:val="24"/>
        </w:rPr>
      </w:pPr>
      <w:r w:rsidRPr="00053BE6">
        <w:rPr>
          <w:szCs w:val="24"/>
        </w:rPr>
        <w:t xml:space="preserve">Taxpayers have not had success challenging Federal taxes on benefits requirement grounds, but the case law has never concluded that the benefits requirement does not apply under the Due Process Clause of the Fifth Amendment.  In </w:t>
      </w:r>
      <w:r w:rsidRPr="00053BE6">
        <w:rPr>
          <w:i/>
          <w:szCs w:val="24"/>
        </w:rPr>
        <w:t>Guarantee Trust Co. v. Commissioner</w:t>
      </w:r>
      <w:r w:rsidRPr="00053BE6">
        <w:rPr>
          <w:szCs w:val="24"/>
        </w:rPr>
        <w:t>,</w:t>
      </w:r>
      <w:r w:rsidRPr="00053BE6">
        <w:rPr>
          <w:rStyle w:val="FootnoteReference"/>
          <w:szCs w:val="24"/>
        </w:rPr>
        <w:footnoteReference w:id="207"/>
      </w:r>
      <w:r w:rsidRPr="00053BE6">
        <w:rPr>
          <w:szCs w:val="24"/>
        </w:rPr>
        <w:t xml:space="preserve"> the executors of the will of a U.S. citizen and resident challenged the application of the U.S. estate tax </w:t>
      </w:r>
      <w:r w:rsidRPr="00053BE6">
        <w:rPr>
          <w:szCs w:val="24"/>
        </w:rPr>
        <w:lastRenderedPageBreak/>
        <w:t>to property of the decedent located in England.  The executors asserted that</w:t>
      </w:r>
      <w:r w:rsidR="0097177D">
        <w:rPr>
          <w:szCs w:val="24"/>
        </w:rPr>
        <w:t>,</w:t>
      </w:r>
      <w:r w:rsidRPr="00053BE6">
        <w:rPr>
          <w:szCs w:val="24"/>
        </w:rPr>
        <w:t xml:space="preserve"> at the time of his death, the decedent did not benefit from the protections of the U.S. government and as such, Due Process should prevent the English property from being subject to U.S. estate tax. </w:t>
      </w:r>
      <w:r w:rsidR="0097177D">
        <w:rPr>
          <w:szCs w:val="24"/>
        </w:rPr>
        <w:t xml:space="preserve"> The Second Circuit disagreed.</w:t>
      </w:r>
    </w:p>
    <w:p w14:paraId="06E804C2" w14:textId="77777777" w:rsidR="00D448FD" w:rsidRPr="00053BE6" w:rsidRDefault="00D448FD" w:rsidP="00D448FD">
      <w:pPr>
        <w:jc w:val="both"/>
        <w:rPr>
          <w:szCs w:val="24"/>
        </w:rPr>
      </w:pPr>
    </w:p>
    <w:p w14:paraId="0E0B46B2" w14:textId="117D4DD0" w:rsidR="00D448FD" w:rsidRPr="00053BE6" w:rsidRDefault="00D448FD" w:rsidP="00D448FD">
      <w:pPr>
        <w:jc w:val="both"/>
        <w:rPr>
          <w:szCs w:val="24"/>
        </w:rPr>
      </w:pPr>
      <w:r w:rsidRPr="00053BE6">
        <w:rPr>
          <w:szCs w:val="24"/>
        </w:rPr>
        <w:t xml:space="preserve">Later, in </w:t>
      </w:r>
      <w:r w:rsidRPr="00053BE6">
        <w:rPr>
          <w:i/>
          <w:szCs w:val="24"/>
        </w:rPr>
        <w:t>Rexach v. United States</w:t>
      </w:r>
      <w:r w:rsidRPr="00053BE6">
        <w:rPr>
          <w:szCs w:val="24"/>
        </w:rPr>
        <w:t>,</w:t>
      </w:r>
      <w:r w:rsidRPr="00053BE6">
        <w:rPr>
          <w:rStyle w:val="FootnoteReference"/>
          <w:szCs w:val="24"/>
        </w:rPr>
        <w:footnoteReference w:id="208"/>
      </w:r>
      <w:r w:rsidRPr="00053BE6">
        <w:rPr>
          <w:szCs w:val="24"/>
        </w:rPr>
        <w:t xml:space="preserve"> the taxpayer was a U.S. citizen who moved to the Dominican Republic and renounced his U.S. citizenship in 1958.  Three years later, in 1961, the taxpayer applied for a U.S. passport, claiming that he renounced his U.S. citizenship under duress.  The taxpayer’s citizenship was reinstated, but he claim</w:t>
      </w:r>
      <w:r w:rsidR="0097177D">
        <w:rPr>
          <w:szCs w:val="24"/>
        </w:rPr>
        <w:t>ed</w:t>
      </w:r>
      <w:r w:rsidRPr="00053BE6">
        <w:rPr>
          <w:szCs w:val="24"/>
        </w:rPr>
        <w:t xml:space="preserve"> that for the years that between the renouncement and reinstatement he should not have had U.S. federal income tax obligations, because he did not have access to the benefits of U.S. citizenship for those years.</w:t>
      </w:r>
      <w:r w:rsidR="0097177D">
        <w:rPr>
          <w:szCs w:val="24"/>
        </w:rPr>
        <w:t xml:space="preserve">  Similarly here, the First Circuit disagreed.</w:t>
      </w:r>
    </w:p>
    <w:p w14:paraId="61A3C153" w14:textId="77777777" w:rsidR="008E1CEA" w:rsidRPr="00053BE6" w:rsidRDefault="008E1CEA" w:rsidP="00D448FD">
      <w:pPr>
        <w:jc w:val="both"/>
        <w:rPr>
          <w:szCs w:val="24"/>
        </w:rPr>
      </w:pPr>
    </w:p>
    <w:p w14:paraId="623C82DD" w14:textId="6D9DA0C2" w:rsidR="00871540" w:rsidRPr="00053BE6" w:rsidRDefault="002A3D6A" w:rsidP="004C262E">
      <w:pPr>
        <w:jc w:val="both"/>
        <w:rPr>
          <w:szCs w:val="24"/>
        </w:rPr>
      </w:pPr>
      <w:r w:rsidRPr="00053BE6">
        <w:rPr>
          <w:szCs w:val="24"/>
        </w:rPr>
        <w:t xml:space="preserve">In </w:t>
      </w:r>
      <w:r w:rsidRPr="00053BE6">
        <w:rPr>
          <w:i/>
          <w:szCs w:val="24"/>
        </w:rPr>
        <w:t>Guarantee Trust</w:t>
      </w:r>
      <w:r w:rsidRPr="00053BE6">
        <w:rPr>
          <w:szCs w:val="24"/>
        </w:rPr>
        <w:t xml:space="preserve"> and </w:t>
      </w:r>
      <w:r w:rsidRPr="00053BE6">
        <w:rPr>
          <w:i/>
          <w:szCs w:val="24"/>
        </w:rPr>
        <w:t>Rexach</w:t>
      </w:r>
      <w:r w:rsidRPr="00053BE6">
        <w:rPr>
          <w:szCs w:val="24"/>
        </w:rPr>
        <w:t>, the circuit courts clarif</w:t>
      </w:r>
      <w:r w:rsidR="0097177D">
        <w:rPr>
          <w:szCs w:val="24"/>
        </w:rPr>
        <w:t>ied</w:t>
      </w:r>
      <w:r w:rsidRPr="00053BE6">
        <w:rPr>
          <w:szCs w:val="24"/>
        </w:rPr>
        <w:t xml:space="preserve"> that the </w:t>
      </w:r>
      <w:r w:rsidR="00215BE7">
        <w:rPr>
          <w:szCs w:val="24"/>
        </w:rPr>
        <w:t xml:space="preserve">benefits requirement </w:t>
      </w:r>
      <w:r w:rsidRPr="00053BE6">
        <w:rPr>
          <w:szCs w:val="24"/>
        </w:rPr>
        <w:t xml:space="preserve"> is not a quid pro quo test, pursuant to which a U.S. citizen must be receiving benefits from the Federal government in order for the Federal government to be able to assert taxing jurisdiction over the income and property of </w:t>
      </w:r>
      <w:r w:rsidR="00954C96" w:rsidRPr="00053BE6">
        <w:rPr>
          <w:szCs w:val="24"/>
        </w:rPr>
        <w:t>the citizen.  Nevertheless, neither the Supreme Court nor the circuit courts conclude</w:t>
      </w:r>
      <w:r w:rsidR="0097177D">
        <w:rPr>
          <w:szCs w:val="24"/>
        </w:rPr>
        <w:t>d</w:t>
      </w:r>
      <w:r w:rsidR="00954C96" w:rsidRPr="00053BE6">
        <w:rPr>
          <w:szCs w:val="24"/>
        </w:rPr>
        <w:t xml:space="preserve"> that the Due Process Clause</w:t>
      </w:r>
      <w:r w:rsidR="0097177D">
        <w:rPr>
          <w:szCs w:val="24"/>
        </w:rPr>
        <w:t xml:space="preserve"> of the Fifth Amendment</w:t>
      </w:r>
      <w:r w:rsidR="00954C96" w:rsidRPr="00053BE6">
        <w:rPr>
          <w:szCs w:val="24"/>
        </w:rPr>
        <w:t xml:space="preserve"> does not impose a benefits requirement with respect to the Federal governments right to tax.  In that respect, it would seem relatively clear that if Congress were to impose an income tax on a nonresident alien with respect to income earned outside the United States, the tax would be unconstitutional, as it would fail the benefits requirement imposed by the Due Process Clause</w:t>
      </w:r>
      <w:r w:rsidR="00825D81">
        <w:rPr>
          <w:szCs w:val="24"/>
        </w:rPr>
        <w:t xml:space="preserve"> of the Fifth Amendment</w:t>
      </w:r>
      <w:r w:rsidR="00954C96" w:rsidRPr="00053BE6">
        <w:rPr>
          <w:szCs w:val="24"/>
        </w:rPr>
        <w:t xml:space="preserve">.  </w:t>
      </w:r>
    </w:p>
    <w:p w14:paraId="46753FD6" w14:textId="77777777" w:rsidR="00D7478A" w:rsidRPr="00053BE6" w:rsidRDefault="00D7478A" w:rsidP="004C262E">
      <w:pPr>
        <w:jc w:val="both"/>
        <w:rPr>
          <w:szCs w:val="24"/>
        </w:rPr>
      </w:pPr>
    </w:p>
    <w:p w14:paraId="1B1ECFA2" w14:textId="532D34DA" w:rsidR="00E4255B" w:rsidRPr="00053BE6" w:rsidRDefault="00757F6C" w:rsidP="004C262E">
      <w:pPr>
        <w:jc w:val="both"/>
        <w:rPr>
          <w:szCs w:val="24"/>
        </w:rPr>
      </w:pPr>
      <w:r w:rsidRPr="00053BE6">
        <w:rPr>
          <w:szCs w:val="24"/>
        </w:rPr>
        <w:t>If Congress</w:t>
      </w:r>
      <w:r w:rsidR="00D7478A" w:rsidRPr="00053BE6">
        <w:rPr>
          <w:szCs w:val="24"/>
        </w:rPr>
        <w:t xml:space="preserve"> impose</w:t>
      </w:r>
      <w:r w:rsidRPr="00053BE6">
        <w:rPr>
          <w:szCs w:val="24"/>
        </w:rPr>
        <w:t>d</w:t>
      </w:r>
      <w:r w:rsidR="00D7478A" w:rsidRPr="00053BE6">
        <w:rPr>
          <w:szCs w:val="24"/>
        </w:rPr>
        <w:t xml:space="preserve"> UTPR</w:t>
      </w:r>
      <w:r w:rsidRPr="00053BE6">
        <w:rPr>
          <w:szCs w:val="24"/>
        </w:rPr>
        <w:t xml:space="preserve"> on U</w:t>
      </w:r>
      <w:r w:rsidR="000D32D0">
        <w:rPr>
          <w:szCs w:val="24"/>
        </w:rPr>
        <w:t>.</w:t>
      </w:r>
      <w:r w:rsidRPr="00053BE6">
        <w:rPr>
          <w:szCs w:val="24"/>
        </w:rPr>
        <w:t>S</w:t>
      </w:r>
      <w:r w:rsidR="000D32D0">
        <w:rPr>
          <w:szCs w:val="24"/>
        </w:rPr>
        <w:t>.</w:t>
      </w:r>
      <w:r w:rsidRPr="00053BE6">
        <w:rPr>
          <w:szCs w:val="24"/>
        </w:rPr>
        <w:t xml:space="preserve"> resident entities and permanent establishments</w:t>
      </w:r>
      <w:r w:rsidR="00D7478A" w:rsidRPr="00053BE6">
        <w:rPr>
          <w:szCs w:val="24"/>
        </w:rPr>
        <w:t xml:space="preserve">, </w:t>
      </w:r>
      <w:r w:rsidRPr="00053BE6">
        <w:rPr>
          <w:szCs w:val="24"/>
        </w:rPr>
        <w:t xml:space="preserve">the Court would not be constrained to analyze the tax as a tax specifically on the resident or permanent establishment and instead could view the tax as one imposed on the MNE Group.  As discussed above, the Court in </w:t>
      </w:r>
      <w:r w:rsidRPr="009D1963">
        <w:rPr>
          <w:i/>
          <w:szCs w:val="24"/>
        </w:rPr>
        <w:t>Container Corp.</w:t>
      </w:r>
      <w:r w:rsidRPr="00053BE6">
        <w:rPr>
          <w:szCs w:val="24"/>
        </w:rPr>
        <w:t xml:space="preserve"> and </w:t>
      </w:r>
      <w:r w:rsidRPr="009D1963">
        <w:rPr>
          <w:i/>
          <w:szCs w:val="24"/>
        </w:rPr>
        <w:t>Barclays</w:t>
      </w:r>
      <w:r w:rsidRPr="00053BE6">
        <w:rPr>
          <w:szCs w:val="24"/>
        </w:rPr>
        <w:t xml:space="preserve"> specifically concluded that Due Process did not </w:t>
      </w:r>
      <w:r w:rsidR="0087632C">
        <w:rPr>
          <w:szCs w:val="24"/>
        </w:rPr>
        <w:t>require</w:t>
      </w:r>
      <w:r w:rsidRPr="00053BE6">
        <w:rPr>
          <w:szCs w:val="24"/>
        </w:rPr>
        <w:t xml:space="preserve"> Congress to respect the separateness of legal entities.  </w:t>
      </w:r>
      <w:r w:rsidR="006205D6" w:rsidRPr="00053BE6">
        <w:rPr>
          <w:szCs w:val="24"/>
        </w:rPr>
        <w:t xml:space="preserve">Even analyzing UTPR as a tax on the MNE Group, the question is whether the tax violates the benefits requirement.  The way that UTPR is determined, it seems to quite specifically violate the benefits requirement.  </w:t>
      </w:r>
      <w:r w:rsidR="00B87B38">
        <w:rPr>
          <w:szCs w:val="24"/>
        </w:rPr>
        <w:t>Under the U.S. federal income tax provisions of the Code, t</w:t>
      </w:r>
      <w:r w:rsidR="006205D6" w:rsidRPr="00053BE6">
        <w:rPr>
          <w:szCs w:val="24"/>
        </w:rPr>
        <w:t xml:space="preserve">he Federal government </w:t>
      </w:r>
      <w:r w:rsidR="00C458F8" w:rsidRPr="00053BE6">
        <w:rPr>
          <w:szCs w:val="24"/>
        </w:rPr>
        <w:t>already determines the amount of income of foreign</w:t>
      </w:r>
      <w:r w:rsidR="00573FB3">
        <w:rPr>
          <w:szCs w:val="24"/>
        </w:rPr>
        <w:t>-</w:t>
      </w:r>
      <w:r w:rsidR="00C458F8" w:rsidRPr="00053BE6">
        <w:rPr>
          <w:szCs w:val="24"/>
        </w:rPr>
        <w:t>based MNE Groups that is connected with the United States</w:t>
      </w:r>
      <w:r w:rsidR="008C27FB" w:rsidRPr="00053BE6">
        <w:rPr>
          <w:szCs w:val="24"/>
        </w:rPr>
        <w:t xml:space="preserve"> and taxes that income. </w:t>
      </w:r>
      <w:r w:rsidR="00C458F8" w:rsidRPr="00053BE6">
        <w:rPr>
          <w:szCs w:val="24"/>
        </w:rPr>
        <w:t xml:space="preserve"> </w:t>
      </w:r>
      <w:r w:rsidR="008C27FB" w:rsidRPr="00053BE6">
        <w:rPr>
          <w:szCs w:val="24"/>
        </w:rPr>
        <w:t>T</w:t>
      </w:r>
      <w:r w:rsidR="00B00BC1" w:rsidRPr="00053BE6">
        <w:rPr>
          <w:szCs w:val="24"/>
        </w:rPr>
        <w:t>hen</w:t>
      </w:r>
      <w:r w:rsidR="00B87B38">
        <w:rPr>
          <w:szCs w:val="24"/>
        </w:rPr>
        <w:t>,</w:t>
      </w:r>
      <w:r w:rsidR="00B00BC1" w:rsidRPr="00053BE6">
        <w:rPr>
          <w:szCs w:val="24"/>
        </w:rPr>
        <w:t xml:space="preserve"> the Federal government would apply UTPR</w:t>
      </w:r>
      <w:r w:rsidR="00B87B38">
        <w:rPr>
          <w:szCs w:val="24"/>
        </w:rPr>
        <w:t>,</w:t>
      </w:r>
      <w:r w:rsidR="00B00BC1" w:rsidRPr="00053BE6">
        <w:rPr>
          <w:szCs w:val="24"/>
        </w:rPr>
        <w:t xml:space="preserve"> </w:t>
      </w:r>
      <w:r w:rsidR="008C27FB" w:rsidRPr="00053BE6">
        <w:rPr>
          <w:szCs w:val="24"/>
        </w:rPr>
        <w:t xml:space="preserve">which is </w:t>
      </w:r>
      <w:r w:rsidR="00B00BC1" w:rsidRPr="00053BE6">
        <w:rPr>
          <w:szCs w:val="24"/>
        </w:rPr>
        <w:t xml:space="preserve">specifically designed to tax the income of the MNE Group that </w:t>
      </w:r>
      <w:r w:rsidR="008C27FB" w:rsidRPr="00053BE6">
        <w:rPr>
          <w:szCs w:val="24"/>
        </w:rPr>
        <w:t xml:space="preserve">the Federal government has determined is not connected to the United States.  </w:t>
      </w:r>
    </w:p>
    <w:p w14:paraId="081039FE" w14:textId="77777777" w:rsidR="00E4255B" w:rsidRPr="00053BE6" w:rsidRDefault="00E4255B" w:rsidP="004C262E">
      <w:pPr>
        <w:jc w:val="both"/>
        <w:rPr>
          <w:szCs w:val="24"/>
        </w:rPr>
      </w:pPr>
    </w:p>
    <w:p w14:paraId="718D8B54" w14:textId="4DC60F1F" w:rsidR="00E0711B" w:rsidRPr="00053BE6" w:rsidRDefault="008C27FB" w:rsidP="004C262E">
      <w:pPr>
        <w:jc w:val="both"/>
        <w:rPr>
          <w:szCs w:val="24"/>
        </w:rPr>
      </w:pPr>
      <w:r w:rsidRPr="00053BE6">
        <w:rPr>
          <w:szCs w:val="24"/>
        </w:rPr>
        <w:t xml:space="preserve">It has been suggested that UTPR is not a tax on income and instead should be viewed as an excise tax, </w:t>
      </w:r>
      <w:r w:rsidR="002242B0" w:rsidRPr="00053BE6">
        <w:rPr>
          <w:szCs w:val="24"/>
        </w:rPr>
        <w:t xml:space="preserve">but </w:t>
      </w:r>
      <w:r w:rsidR="00E4255B" w:rsidRPr="00053BE6">
        <w:rPr>
          <w:szCs w:val="24"/>
        </w:rPr>
        <w:t>it is not clear how that</w:t>
      </w:r>
      <w:r w:rsidR="00E0711B" w:rsidRPr="00053BE6">
        <w:rPr>
          <w:szCs w:val="24"/>
        </w:rPr>
        <w:t xml:space="preserve"> would render</w:t>
      </w:r>
      <w:r w:rsidR="00E4255B" w:rsidRPr="00053BE6">
        <w:rPr>
          <w:szCs w:val="24"/>
        </w:rPr>
        <w:t xml:space="preserve"> the tax constitutional.</w:t>
      </w:r>
      <w:r w:rsidR="00825D81">
        <w:rPr>
          <w:rStyle w:val="FootnoteReference"/>
          <w:szCs w:val="24"/>
        </w:rPr>
        <w:footnoteReference w:id="209"/>
      </w:r>
      <w:r w:rsidR="00E4255B" w:rsidRPr="00053BE6">
        <w:rPr>
          <w:szCs w:val="24"/>
        </w:rPr>
        <w:t xml:space="preserve">  </w:t>
      </w:r>
      <w:r w:rsidR="003A5773" w:rsidRPr="00053BE6">
        <w:rPr>
          <w:szCs w:val="24"/>
        </w:rPr>
        <w:t>If the benefits requirement applies to Federal taxes, which the case law above suggests it does, then the subject matter of the tax needs to be connected to the United States through the subject matter’s connection to</w:t>
      </w:r>
      <w:r w:rsidR="004C1114" w:rsidRPr="00053BE6">
        <w:rPr>
          <w:szCs w:val="24"/>
        </w:rPr>
        <w:t xml:space="preserve"> the U</w:t>
      </w:r>
      <w:r w:rsidR="00B87B38">
        <w:rPr>
          <w:szCs w:val="24"/>
        </w:rPr>
        <w:t>nited States</w:t>
      </w:r>
      <w:r w:rsidR="004C1114" w:rsidRPr="00053BE6">
        <w:rPr>
          <w:szCs w:val="24"/>
        </w:rPr>
        <w:t xml:space="preserve"> itself or through its connection to</w:t>
      </w:r>
      <w:r w:rsidR="003A5773" w:rsidRPr="00053BE6">
        <w:rPr>
          <w:szCs w:val="24"/>
        </w:rPr>
        <w:t xml:space="preserve"> a U.S. citizen or resident.  </w:t>
      </w:r>
      <w:r w:rsidR="004C1114" w:rsidRPr="00053BE6">
        <w:rPr>
          <w:szCs w:val="24"/>
        </w:rPr>
        <w:t xml:space="preserve">Whether UTPR is an income tax or not, the subject matter of the tax is the income of the constituent entities of an MNE Group </w:t>
      </w:r>
      <w:r w:rsidR="004C1114" w:rsidRPr="00053BE6">
        <w:rPr>
          <w:szCs w:val="24"/>
        </w:rPr>
        <w:lastRenderedPageBreak/>
        <w:t xml:space="preserve">that are tax residents of low-tax jurisdictions.  </w:t>
      </w:r>
      <w:r w:rsidR="0063635F" w:rsidRPr="00053BE6">
        <w:rPr>
          <w:szCs w:val="24"/>
        </w:rPr>
        <w:t>Per UTPR’s specific design</w:t>
      </w:r>
      <w:r w:rsidR="00B87B38">
        <w:rPr>
          <w:szCs w:val="24"/>
        </w:rPr>
        <w:t>,</w:t>
      </w:r>
      <w:r w:rsidR="0063635F" w:rsidRPr="00053BE6">
        <w:rPr>
          <w:szCs w:val="24"/>
        </w:rPr>
        <w:t xml:space="preserve"> that subject matter has no connection to the United States itself or to a citizen or resident of the United States. </w:t>
      </w:r>
    </w:p>
    <w:p w14:paraId="5E270F59" w14:textId="77777777" w:rsidR="00E0711B" w:rsidRPr="00053BE6" w:rsidRDefault="00E0711B" w:rsidP="004C262E">
      <w:pPr>
        <w:jc w:val="both"/>
        <w:rPr>
          <w:szCs w:val="24"/>
        </w:rPr>
      </w:pPr>
    </w:p>
    <w:p w14:paraId="1B84B0A9" w14:textId="08516B23" w:rsidR="00871540" w:rsidRPr="00053BE6" w:rsidRDefault="00A641D1" w:rsidP="004C262E">
      <w:pPr>
        <w:jc w:val="both"/>
        <w:rPr>
          <w:szCs w:val="24"/>
        </w:rPr>
      </w:pPr>
      <w:r>
        <w:rPr>
          <w:szCs w:val="24"/>
        </w:rPr>
        <w:t>T</w:t>
      </w:r>
      <w:r w:rsidR="00E0711B" w:rsidRPr="00053BE6">
        <w:rPr>
          <w:szCs w:val="24"/>
        </w:rPr>
        <w:t xml:space="preserve">he Supreme Court </w:t>
      </w:r>
      <w:r>
        <w:rPr>
          <w:szCs w:val="24"/>
        </w:rPr>
        <w:t xml:space="preserve">could </w:t>
      </w:r>
      <w:r w:rsidR="00E0711B" w:rsidRPr="00053BE6">
        <w:rPr>
          <w:szCs w:val="24"/>
        </w:rPr>
        <w:t>decide that the goal posts for Due Process have moved based on an international consensus to UTP</w:t>
      </w:r>
      <w:r w:rsidR="00AA635B" w:rsidRPr="00053BE6">
        <w:rPr>
          <w:szCs w:val="24"/>
        </w:rPr>
        <w:t xml:space="preserve">R.  However, based on </w:t>
      </w:r>
      <w:r w:rsidR="00B87B38">
        <w:rPr>
          <w:szCs w:val="24"/>
        </w:rPr>
        <w:t xml:space="preserve">the </w:t>
      </w:r>
      <w:r w:rsidR="00AA635B" w:rsidRPr="00053BE6">
        <w:rPr>
          <w:szCs w:val="24"/>
        </w:rPr>
        <w:t>Court</w:t>
      </w:r>
      <w:r w:rsidR="00B87B38">
        <w:rPr>
          <w:szCs w:val="24"/>
        </w:rPr>
        <w:t>’</w:t>
      </w:r>
      <w:r w:rsidR="00AA635B" w:rsidRPr="00053BE6">
        <w:rPr>
          <w:szCs w:val="24"/>
        </w:rPr>
        <w:t>s historic</w:t>
      </w:r>
      <w:r>
        <w:rPr>
          <w:szCs w:val="24"/>
        </w:rPr>
        <w:t>al</w:t>
      </w:r>
      <w:r w:rsidR="00AA635B" w:rsidRPr="00053BE6">
        <w:rPr>
          <w:szCs w:val="24"/>
        </w:rPr>
        <w:t xml:space="preserve"> application of the benefits requirement to Federal taxes, there would be grounds to challenge </w:t>
      </w:r>
      <w:r w:rsidR="00B87B38">
        <w:rPr>
          <w:szCs w:val="24"/>
        </w:rPr>
        <w:t xml:space="preserve">if Congress enacted </w:t>
      </w:r>
      <w:r w:rsidR="00AA635B" w:rsidRPr="00053BE6">
        <w:rPr>
          <w:szCs w:val="24"/>
        </w:rPr>
        <w:t xml:space="preserve">UTPR. </w:t>
      </w:r>
    </w:p>
    <w:p w14:paraId="4C7A0961" w14:textId="77777777" w:rsidR="0058083C" w:rsidRPr="00053BE6" w:rsidRDefault="0058083C" w:rsidP="0058083C">
      <w:pPr>
        <w:pStyle w:val="Heading1"/>
        <w:rPr>
          <w:szCs w:val="24"/>
        </w:rPr>
      </w:pPr>
      <w:r w:rsidRPr="00053BE6">
        <w:rPr>
          <w:szCs w:val="24"/>
        </w:rPr>
        <w:t>Alternative Approaches</w:t>
      </w:r>
    </w:p>
    <w:p w14:paraId="600C9F8B" w14:textId="74971673" w:rsidR="00F96DED" w:rsidRPr="00F96DED" w:rsidRDefault="00F96DED" w:rsidP="00F96DED">
      <w:pPr>
        <w:spacing w:before="240" w:after="240"/>
        <w:jc w:val="both"/>
        <w:rPr>
          <w:szCs w:val="24"/>
        </w:rPr>
      </w:pPr>
      <w:r w:rsidRPr="00F96DED">
        <w:rPr>
          <w:rFonts w:ascii="MinionPro-Regular" w:hAnsi="MinionPro-Regular"/>
          <w:color w:val="000000"/>
          <w:szCs w:val="24"/>
        </w:rPr>
        <w:t xml:space="preserve">There are alternatives to the two-pillar solution that have not been given nearly as much attention or consideration.  One approach, which primarily would address an alternative to DSTs, would involve a renegotiation of bilateral treaties with inspiration from the </w:t>
      </w:r>
      <w:r w:rsidRPr="00F96DED">
        <w:rPr>
          <w:szCs w:val="24"/>
        </w:rPr>
        <w:t>UN Model Treaty.  This approach is discussed in Part V.A.  Regarding Pillar II, it is difficult to find fault with an IIR approach, if we assume that a world</w:t>
      </w:r>
      <w:r w:rsidR="001838F2">
        <w:rPr>
          <w:szCs w:val="24"/>
        </w:rPr>
        <w:t>-</w:t>
      </w:r>
      <w:r w:rsidRPr="00F96DED">
        <w:rPr>
          <w:szCs w:val="24"/>
        </w:rPr>
        <w:t>wide minimum tax is necessary in the first place.  UTPR, on the other hand, is irreconcilable with basic tax policy principles.  In Part V.B, we discuss UTPR’s inconsistency with such principles and suggest an alternative approach to UTPR.  Such an approach, at least arguably, would align with basic tax policy principles and still address the race-to-the-bottom and profit</w:t>
      </w:r>
      <w:r w:rsidR="001838F2">
        <w:rPr>
          <w:szCs w:val="24"/>
        </w:rPr>
        <w:t>-</w:t>
      </w:r>
      <w:r w:rsidRPr="00F96DED">
        <w:rPr>
          <w:szCs w:val="24"/>
        </w:rPr>
        <w:t>shifting concern</w:t>
      </w:r>
      <w:r w:rsidR="001838F2">
        <w:rPr>
          <w:szCs w:val="24"/>
        </w:rPr>
        <w:t>s</w:t>
      </w:r>
      <w:r w:rsidRPr="00F96DED">
        <w:rPr>
          <w:szCs w:val="24"/>
        </w:rPr>
        <w:t xml:space="preserve"> that Pillar II was designed to address. </w:t>
      </w:r>
    </w:p>
    <w:p w14:paraId="5F51942D" w14:textId="77777777" w:rsidR="00F96DED" w:rsidRPr="00F96DED" w:rsidRDefault="00F96DED" w:rsidP="00F96DED">
      <w:pPr>
        <w:keepNext/>
        <w:keepLines/>
        <w:numPr>
          <w:ilvl w:val="1"/>
          <w:numId w:val="12"/>
        </w:numPr>
        <w:spacing w:before="240" w:after="240" w:line="240" w:lineRule="exact"/>
        <w:ind w:right="720"/>
        <w:outlineLvl w:val="1"/>
        <w:rPr>
          <w:b/>
        </w:rPr>
      </w:pPr>
      <w:r w:rsidRPr="00F96DED">
        <w:rPr>
          <w:b/>
        </w:rPr>
        <w:t>Source-Residence Renegotiation Approach</w:t>
      </w:r>
    </w:p>
    <w:p w14:paraId="57AE65C7" w14:textId="55127E52" w:rsidR="00F96DED" w:rsidRPr="00F96DED" w:rsidRDefault="00F96DED" w:rsidP="00F96DED">
      <w:pPr>
        <w:spacing w:before="240" w:after="240"/>
        <w:jc w:val="both"/>
        <w:rPr>
          <w:szCs w:val="24"/>
        </w:rPr>
      </w:pPr>
      <w:r w:rsidRPr="00F96DED">
        <w:rPr>
          <w:rFonts w:ascii="MinionPro-Regular" w:hAnsi="MinionPro-Regular"/>
          <w:color w:val="000000"/>
          <w:szCs w:val="24"/>
        </w:rPr>
        <w:t xml:space="preserve">State tax developments discussed in Part II have illustrated that the permanent establishment threshold may no longer be an appropriate threshold for limiting a source jurisdiction’s right to tax in the digital age.  The rise of Treaty Avoidance </w:t>
      </w:r>
      <w:r w:rsidR="00B73E71">
        <w:rPr>
          <w:rFonts w:ascii="MinionPro-Regular" w:hAnsi="MinionPro-Regular"/>
          <w:color w:val="000000"/>
          <w:szCs w:val="24"/>
        </w:rPr>
        <w:t>Regimes</w:t>
      </w:r>
      <w:r w:rsidR="00B73E71" w:rsidRPr="00F96DED">
        <w:rPr>
          <w:rFonts w:ascii="MinionPro-Regular" w:hAnsi="MinionPro-Regular"/>
          <w:color w:val="000000"/>
          <w:szCs w:val="24"/>
        </w:rPr>
        <w:t xml:space="preserve"> </w:t>
      </w:r>
      <w:r w:rsidRPr="00F96DED">
        <w:rPr>
          <w:rFonts w:ascii="MinionPro-Regular" w:hAnsi="MinionPro-Regular"/>
          <w:color w:val="000000"/>
          <w:szCs w:val="24"/>
        </w:rPr>
        <w:t xml:space="preserve">like </w:t>
      </w:r>
      <w:r w:rsidR="00B73E71">
        <w:rPr>
          <w:rFonts w:ascii="MinionPro-Regular" w:hAnsi="MinionPro-Regular"/>
          <w:color w:val="000000"/>
          <w:szCs w:val="24"/>
        </w:rPr>
        <w:t xml:space="preserve">the </w:t>
      </w:r>
      <w:r w:rsidRPr="00F96DED">
        <w:rPr>
          <w:rFonts w:ascii="MinionPro-Regular" w:hAnsi="MinionPro-Regular"/>
          <w:color w:val="000000"/>
          <w:szCs w:val="24"/>
        </w:rPr>
        <w:t>DPT and DSTs have shown that</w:t>
      </w:r>
      <w:r w:rsidR="001838F2">
        <w:rPr>
          <w:rFonts w:ascii="MinionPro-Regular" w:hAnsi="MinionPro-Regular"/>
          <w:color w:val="000000"/>
          <w:szCs w:val="24"/>
        </w:rPr>
        <w:t>,</w:t>
      </w:r>
      <w:r w:rsidRPr="00F96DED">
        <w:rPr>
          <w:rFonts w:ascii="MinionPro-Regular" w:hAnsi="MinionPro-Regular"/>
          <w:color w:val="000000"/>
          <w:szCs w:val="24"/>
        </w:rPr>
        <w:t xml:space="preserve"> whether the threshold is appropriate or not, countries are no longer willing to accept its boundaries.  An approach to these developments that we have not yet discussed is provided in the UN Model Treaty.</w:t>
      </w:r>
      <w:r w:rsidRPr="00F96DED">
        <w:rPr>
          <w:rFonts w:ascii="MinionPro-Regular" w:hAnsi="MinionPro-Regular"/>
          <w:color w:val="000000"/>
          <w:szCs w:val="24"/>
          <w:vertAlign w:val="superscript"/>
        </w:rPr>
        <w:footnoteReference w:id="210"/>
      </w:r>
      <w:r w:rsidRPr="00F96DED">
        <w:rPr>
          <w:rFonts w:ascii="MinionPro-Regular" w:hAnsi="MinionPro-Regular"/>
          <w:color w:val="000000"/>
          <w:szCs w:val="24"/>
        </w:rPr>
        <w:t xml:space="preserve"> </w:t>
      </w:r>
    </w:p>
    <w:p w14:paraId="5F4CD173" w14:textId="22799D5F" w:rsidR="006F0D1B" w:rsidRDefault="00F96DED" w:rsidP="00F96DED">
      <w:pPr>
        <w:jc w:val="both"/>
        <w:rPr>
          <w:szCs w:val="24"/>
        </w:rPr>
      </w:pPr>
      <w:r w:rsidRPr="00F96DED">
        <w:rPr>
          <w:szCs w:val="24"/>
        </w:rPr>
        <w:t>Article 12A of the UN Model Treaty permit</w:t>
      </w:r>
      <w:r w:rsidR="001838F2">
        <w:rPr>
          <w:szCs w:val="24"/>
        </w:rPr>
        <w:t>s</w:t>
      </w:r>
      <w:r w:rsidRPr="00F96DED">
        <w:rPr>
          <w:szCs w:val="24"/>
        </w:rPr>
        <w:t xml:space="preserve"> treaty partners to impose gross basis taxes at a negotiated rate on cross-border payments of fees for technical services.  </w:t>
      </w:r>
      <w:r w:rsidRPr="00F96DED">
        <w:rPr>
          <w:rFonts w:ascii="MinionPro-Regular" w:hAnsi="MinionPro-Regular"/>
          <w:color w:val="000000"/>
          <w:szCs w:val="24"/>
        </w:rPr>
        <w:t>Article 12B of the UN Model Treaty provides a similar, but meaningfully different</w:t>
      </w:r>
      <w:r w:rsidR="001838F2">
        <w:rPr>
          <w:rFonts w:ascii="MinionPro-Regular" w:hAnsi="MinionPro-Regular"/>
          <w:color w:val="000000"/>
          <w:szCs w:val="24"/>
        </w:rPr>
        <w:t>,</w:t>
      </w:r>
      <w:r w:rsidRPr="00F96DED">
        <w:rPr>
          <w:rFonts w:ascii="MinionPro-Regular" w:hAnsi="MinionPro-Regular"/>
          <w:color w:val="000000"/>
          <w:szCs w:val="24"/>
        </w:rPr>
        <w:t xml:space="preserve"> approach to cross-border income from automated digital services (“ADS”).  The approach with respect to ADS defaults to a </w:t>
      </w:r>
      <w:r w:rsidRPr="00F96DED">
        <w:rPr>
          <w:szCs w:val="24"/>
        </w:rPr>
        <w:t xml:space="preserve">gross basis tax at a negotiated rate, but also provides an alternative that the service provider can opt-into that is closer to a net basis tax.  </w:t>
      </w:r>
    </w:p>
    <w:p w14:paraId="53C33272" w14:textId="77777777" w:rsidR="006F0D1B" w:rsidRDefault="006F0D1B" w:rsidP="00F96DED">
      <w:pPr>
        <w:jc w:val="both"/>
        <w:rPr>
          <w:szCs w:val="24"/>
        </w:rPr>
      </w:pPr>
    </w:p>
    <w:p w14:paraId="2652A27E" w14:textId="131BD025" w:rsidR="00F96DED" w:rsidRPr="00F96DED" w:rsidRDefault="00F96DED" w:rsidP="00F96DED">
      <w:pPr>
        <w:jc w:val="both"/>
        <w:rPr>
          <w:rFonts w:ascii="MinionPro-Regular" w:hAnsi="MinionPro-Regular"/>
          <w:color w:val="000000"/>
          <w:szCs w:val="24"/>
        </w:rPr>
      </w:pPr>
      <w:r w:rsidRPr="00F96DED">
        <w:rPr>
          <w:szCs w:val="24"/>
        </w:rPr>
        <w:t>The alternative would be determined as follows</w:t>
      </w:r>
      <w:r w:rsidR="006F0D1B">
        <w:rPr>
          <w:rFonts w:ascii="MinionPro-Regular" w:hAnsi="MinionPro-Regular"/>
          <w:color w:val="000000"/>
          <w:szCs w:val="24"/>
        </w:rPr>
        <w:t xml:space="preserve">: </w:t>
      </w:r>
      <w:r w:rsidRPr="00F96DED">
        <w:rPr>
          <w:rFonts w:ascii="MinionPro-Regular" w:hAnsi="MinionPro-Regular"/>
          <w:color w:val="000000"/>
          <w:szCs w:val="24"/>
        </w:rPr>
        <w:t xml:space="preserve">First, the service provider would compute it profitability ratio with respect to ADS.  </w:t>
      </w:r>
      <w:r w:rsidR="00825D81">
        <w:rPr>
          <w:rFonts w:ascii="MinionPro-Regular" w:hAnsi="MinionPro-Regular"/>
          <w:color w:val="000000"/>
          <w:szCs w:val="24"/>
        </w:rPr>
        <w:t xml:space="preserve">For taxpayers in different </w:t>
      </w:r>
      <w:r w:rsidRPr="00F96DED">
        <w:rPr>
          <w:rFonts w:ascii="MinionPro-Regular" w:hAnsi="MinionPro-Regular"/>
          <w:color w:val="000000"/>
          <w:szCs w:val="24"/>
        </w:rPr>
        <w:t>circumstance</w:t>
      </w:r>
      <w:r w:rsidR="00392C38">
        <w:rPr>
          <w:rFonts w:ascii="MinionPro-Regular" w:hAnsi="MinionPro-Regular"/>
          <w:color w:val="000000"/>
          <w:szCs w:val="24"/>
        </w:rPr>
        <w:t>s</w:t>
      </w:r>
      <w:r w:rsidRPr="00F96DED">
        <w:rPr>
          <w:rFonts w:ascii="MinionPro-Regular" w:hAnsi="MinionPro-Regular"/>
          <w:color w:val="000000"/>
          <w:szCs w:val="24"/>
        </w:rPr>
        <w:t>, the relevant profitability ratio can be</w:t>
      </w:r>
      <w:r w:rsidR="00825D81">
        <w:rPr>
          <w:rFonts w:ascii="MinionPro-Regular" w:hAnsi="MinionPro-Regular"/>
          <w:color w:val="000000"/>
          <w:szCs w:val="24"/>
        </w:rPr>
        <w:t xml:space="preserve"> either</w:t>
      </w:r>
      <w:r w:rsidRPr="00F96DED">
        <w:rPr>
          <w:rFonts w:ascii="MinionPro-Regular" w:hAnsi="MinionPro-Regular"/>
          <w:color w:val="000000"/>
          <w:szCs w:val="24"/>
        </w:rPr>
        <w:t xml:space="preserve"> the</w:t>
      </w:r>
      <w:r w:rsidR="00825D81">
        <w:rPr>
          <w:rFonts w:ascii="MinionPro-Regular" w:hAnsi="MinionPro-Regular"/>
          <w:color w:val="000000"/>
          <w:szCs w:val="24"/>
        </w:rPr>
        <w:t xml:space="preserve"> profitability</w:t>
      </w:r>
      <w:r w:rsidRPr="00F96DED">
        <w:rPr>
          <w:rFonts w:ascii="MinionPro-Regular" w:hAnsi="MinionPro-Regular"/>
          <w:color w:val="000000"/>
          <w:szCs w:val="24"/>
        </w:rPr>
        <w:t xml:space="preserve"> ratio with respect to the service provider’s entire business or </w:t>
      </w:r>
      <w:r w:rsidR="00825D81">
        <w:rPr>
          <w:rFonts w:ascii="MinionPro-Regular" w:hAnsi="MinionPro-Regular"/>
          <w:color w:val="000000"/>
          <w:szCs w:val="24"/>
        </w:rPr>
        <w:t xml:space="preserve">just </w:t>
      </w:r>
      <w:r w:rsidRPr="00F96DED">
        <w:rPr>
          <w:rFonts w:ascii="MinionPro-Regular" w:hAnsi="MinionPro-Regular"/>
          <w:color w:val="000000"/>
          <w:szCs w:val="24"/>
        </w:rPr>
        <w:t xml:space="preserve">its </w:t>
      </w:r>
      <w:r w:rsidR="00392C38">
        <w:rPr>
          <w:rFonts w:ascii="MinionPro-Regular" w:hAnsi="MinionPro-Regular"/>
          <w:color w:val="000000"/>
          <w:szCs w:val="24"/>
        </w:rPr>
        <w:t>ADS</w:t>
      </w:r>
      <w:r w:rsidRPr="00F96DED">
        <w:rPr>
          <w:rFonts w:ascii="MinionPro-Regular" w:hAnsi="MinionPro-Regular"/>
          <w:color w:val="000000"/>
          <w:szCs w:val="24"/>
        </w:rPr>
        <w:t xml:space="preserve"> segment, or the ratio </w:t>
      </w:r>
      <w:r w:rsidR="00392C38">
        <w:rPr>
          <w:rFonts w:ascii="MinionPro-Regular" w:hAnsi="MinionPro-Regular"/>
          <w:color w:val="000000"/>
          <w:szCs w:val="24"/>
        </w:rPr>
        <w:t>can</w:t>
      </w:r>
      <w:r w:rsidR="00392C38" w:rsidRPr="00F96DED">
        <w:rPr>
          <w:rFonts w:ascii="MinionPro-Regular" w:hAnsi="MinionPro-Regular"/>
          <w:color w:val="000000"/>
          <w:szCs w:val="24"/>
        </w:rPr>
        <w:t xml:space="preserve"> </w:t>
      </w:r>
      <w:r w:rsidRPr="00F96DED">
        <w:rPr>
          <w:rFonts w:ascii="MinionPro-Regular" w:hAnsi="MinionPro-Regular"/>
          <w:color w:val="000000"/>
          <w:szCs w:val="24"/>
        </w:rPr>
        <w:t xml:space="preserve">be computed, on a multinational group-wide basis, </w:t>
      </w:r>
      <w:r w:rsidR="0040563F">
        <w:rPr>
          <w:rFonts w:ascii="MinionPro-Regular" w:hAnsi="MinionPro-Regular"/>
          <w:color w:val="000000"/>
          <w:szCs w:val="24"/>
        </w:rPr>
        <w:t>as</w:t>
      </w:r>
      <w:r w:rsidR="0040563F" w:rsidRPr="00F96DED">
        <w:rPr>
          <w:rFonts w:ascii="MinionPro-Regular" w:hAnsi="MinionPro-Regular"/>
          <w:color w:val="000000"/>
          <w:szCs w:val="24"/>
        </w:rPr>
        <w:t xml:space="preserve"> </w:t>
      </w:r>
      <w:r w:rsidRPr="00F96DED">
        <w:rPr>
          <w:rFonts w:ascii="MinionPro-Regular" w:hAnsi="MinionPro-Regular"/>
          <w:color w:val="000000"/>
          <w:szCs w:val="24"/>
        </w:rPr>
        <w:t xml:space="preserve">the profitability of the particular business segment associated with the specific type of income earned.  </w:t>
      </w:r>
    </w:p>
    <w:p w14:paraId="4B30911E" w14:textId="77777777" w:rsidR="00F96DED" w:rsidRPr="00F96DED" w:rsidRDefault="00F96DED" w:rsidP="00F96DED">
      <w:pPr>
        <w:jc w:val="both"/>
        <w:rPr>
          <w:rFonts w:ascii="MinionPro-Regular" w:hAnsi="MinionPro-Regular"/>
          <w:color w:val="000000"/>
          <w:szCs w:val="24"/>
        </w:rPr>
      </w:pPr>
    </w:p>
    <w:p w14:paraId="213C0178" w14:textId="40DDC6F3"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lastRenderedPageBreak/>
        <w:t xml:space="preserve">Next, the nonresident service provider’s profitability ratio is multiplied by the revenue derived by the service provider from ADS in the market </w:t>
      </w:r>
      <w:r w:rsidR="00163212">
        <w:rPr>
          <w:rFonts w:ascii="MinionPro-Regular" w:hAnsi="MinionPro-Regular"/>
          <w:color w:val="000000"/>
          <w:szCs w:val="24"/>
        </w:rPr>
        <w:t>jurisdiction</w:t>
      </w:r>
      <w:r w:rsidR="00163212" w:rsidRPr="00F96DED">
        <w:rPr>
          <w:rFonts w:ascii="MinionPro-Regular" w:hAnsi="MinionPro-Regular"/>
          <w:color w:val="000000"/>
          <w:szCs w:val="24"/>
        </w:rPr>
        <w:t xml:space="preserve"> </w:t>
      </w:r>
      <w:r w:rsidRPr="00F96DED">
        <w:rPr>
          <w:rFonts w:ascii="MinionPro-Regular" w:hAnsi="MinionPro-Regular"/>
          <w:color w:val="000000"/>
          <w:szCs w:val="24"/>
        </w:rPr>
        <w:t xml:space="preserve">imposing the tax.  The amount so determined acts as a rough estimate of the </w:t>
      </w:r>
      <w:r w:rsidR="0040563F">
        <w:rPr>
          <w:rFonts w:ascii="MinionPro-Regular" w:hAnsi="MinionPro-Regular"/>
          <w:color w:val="000000"/>
          <w:szCs w:val="24"/>
        </w:rPr>
        <w:t xml:space="preserve">nonresident service provider’s </w:t>
      </w:r>
      <w:r w:rsidRPr="00F96DED">
        <w:rPr>
          <w:rFonts w:ascii="MinionPro-Regular" w:hAnsi="MinionPro-Regular"/>
          <w:color w:val="000000"/>
          <w:szCs w:val="24"/>
        </w:rPr>
        <w:t>profits from providing the service</w:t>
      </w:r>
      <w:r w:rsidR="0040563F">
        <w:rPr>
          <w:rFonts w:ascii="MinionPro-Regular" w:hAnsi="MinionPro-Regular"/>
          <w:color w:val="000000"/>
          <w:szCs w:val="24"/>
        </w:rPr>
        <w:t>s</w:t>
      </w:r>
      <w:r w:rsidRPr="00F96DED">
        <w:rPr>
          <w:rFonts w:ascii="MinionPro-Regular" w:hAnsi="MinionPro-Regular"/>
          <w:color w:val="000000"/>
          <w:szCs w:val="24"/>
        </w:rPr>
        <w:t xml:space="preserve"> to residents of the market </w:t>
      </w:r>
      <w:r w:rsidR="00163212">
        <w:rPr>
          <w:rFonts w:ascii="MinionPro-Regular" w:hAnsi="MinionPro-Regular"/>
          <w:color w:val="000000"/>
          <w:szCs w:val="24"/>
        </w:rPr>
        <w:t>jurisdiction</w:t>
      </w:r>
      <w:r w:rsidRPr="00F96DED">
        <w:rPr>
          <w:rFonts w:ascii="MinionPro-Regular" w:hAnsi="MinionPro-Regular"/>
          <w:color w:val="000000"/>
          <w:szCs w:val="24"/>
        </w:rPr>
        <w:t xml:space="preserve">.  </w:t>
      </w:r>
    </w:p>
    <w:p w14:paraId="16111CB5" w14:textId="77777777" w:rsidR="00F96DED" w:rsidRPr="00F96DED" w:rsidRDefault="00F96DED" w:rsidP="00F96DED">
      <w:pPr>
        <w:jc w:val="both"/>
        <w:rPr>
          <w:rFonts w:ascii="MinionPro-Regular" w:hAnsi="MinionPro-Regular"/>
          <w:color w:val="000000"/>
          <w:szCs w:val="24"/>
        </w:rPr>
      </w:pPr>
    </w:p>
    <w:p w14:paraId="3B9E24BC" w14:textId="1DB0725B"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 xml:space="preserve">Finally, the </w:t>
      </w:r>
      <w:r w:rsidR="0040563F">
        <w:rPr>
          <w:rFonts w:ascii="MinionPro-Regular" w:hAnsi="MinionPro-Regular"/>
          <w:color w:val="000000"/>
          <w:szCs w:val="24"/>
        </w:rPr>
        <w:t xml:space="preserve">nonresident </w:t>
      </w:r>
      <w:r w:rsidRPr="00F96DED">
        <w:rPr>
          <w:rFonts w:ascii="MinionPro-Regular" w:hAnsi="MinionPro-Regular"/>
          <w:color w:val="000000"/>
          <w:szCs w:val="24"/>
        </w:rPr>
        <w:t>service provider multiplies the above rough profit estimate by 30</w:t>
      </w:r>
      <w:r w:rsidR="0040563F">
        <w:rPr>
          <w:rFonts w:ascii="MinionPro-Regular" w:hAnsi="MinionPro-Regular"/>
          <w:color w:val="000000"/>
          <w:szCs w:val="24"/>
        </w:rPr>
        <w:t>%</w:t>
      </w:r>
      <w:r w:rsidRPr="00F96DED">
        <w:rPr>
          <w:rFonts w:ascii="MinionPro-Regular" w:hAnsi="MinionPro-Regular"/>
          <w:color w:val="000000"/>
          <w:szCs w:val="24"/>
        </w:rPr>
        <w:t xml:space="preserve">, with the product referred to in the </w:t>
      </w:r>
      <w:r w:rsidR="0040563F">
        <w:rPr>
          <w:rFonts w:ascii="MinionPro-Regular" w:hAnsi="MinionPro-Regular"/>
          <w:color w:val="000000"/>
          <w:szCs w:val="24"/>
        </w:rPr>
        <w:t>UN M</w:t>
      </w:r>
      <w:r w:rsidRPr="00F96DED">
        <w:rPr>
          <w:rFonts w:ascii="MinionPro-Regular" w:hAnsi="MinionPro-Regular"/>
          <w:color w:val="000000"/>
          <w:szCs w:val="24"/>
        </w:rPr>
        <w:t xml:space="preserve">odel </w:t>
      </w:r>
      <w:r w:rsidR="0040563F">
        <w:rPr>
          <w:rFonts w:ascii="MinionPro-Regular" w:hAnsi="MinionPro-Regular"/>
          <w:color w:val="000000"/>
          <w:szCs w:val="24"/>
        </w:rPr>
        <w:t>T</w:t>
      </w:r>
      <w:r w:rsidRPr="00F96DED">
        <w:rPr>
          <w:rFonts w:ascii="MinionPro-Regular" w:hAnsi="MinionPro-Regular"/>
          <w:color w:val="000000"/>
          <w:szCs w:val="24"/>
        </w:rPr>
        <w:t xml:space="preserve">reaty as the service provider’s “qualified profits.”  The service provider’s tax is computed by multiplying its qualified profits by the relevant domestic income tax rate applied by the taxing jurisdiction.  </w:t>
      </w:r>
    </w:p>
    <w:p w14:paraId="3CF414F7" w14:textId="77777777" w:rsidR="00F96DED" w:rsidRPr="00F96DED" w:rsidRDefault="00F96DED" w:rsidP="00F96DED">
      <w:pPr>
        <w:jc w:val="both"/>
        <w:rPr>
          <w:rFonts w:ascii="MinionPro-Regular" w:hAnsi="MinionPro-Regular"/>
          <w:color w:val="000000"/>
          <w:szCs w:val="24"/>
        </w:rPr>
      </w:pPr>
    </w:p>
    <w:p w14:paraId="7AD52B4F" w14:textId="7E361353"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An approach along the lines of Article 12B could be suggested that applies more broadly to all service</w:t>
      </w:r>
      <w:r w:rsidR="0089075E">
        <w:rPr>
          <w:rFonts w:ascii="MinionPro-Regular" w:hAnsi="MinionPro-Regular"/>
          <w:color w:val="000000"/>
          <w:szCs w:val="24"/>
        </w:rPr>
        <w:t>s</w:t>
      </w:r>
      <w:r w:rsidRPr="00F96DED">
        <w:rPr>
          <w:rFonts w:ascii="MinionPro-Regular" w:hAnsi="MinionPro-Regular"/>
          <w:color w:val="000000"/>
          <w:szCs w:val="24"/>
        </w:rPr>
        <w:t xml:space="preserve"> income and that applies more precise methods for measuring the profit the market jurisdiction is entitled to tax (a “Source-Residence Renegotiation Approach”).</w:t>
      </w:r>
      <w:r w:rsidRPr="00F96DED">
        <w:rPr>
          <w:rFonts w:ascii="MinionPro-Regular" w:hAnsi="MinionPro-Regular"/>
          <w:color w:val="000000"/>
          <w:szCs w:val="24"/>
          <w:vertAlign w:val="superscript"/>
        </w:rPr>
        <w:footnoteReference w:id="211"/>
      </w:r>
      <w:r w:rsidRPr="00F96DED">
        <w:rPr>
          <w:rFonts w:ascii="MinionPro-Regular" w:hAnsi="MinionPro-Regular"/>
          <w:color w:val="000000"/>
          <w:szCs w:val="24"/>
        </w:rPr>
        <w:t xml:space="preserve">  A Source-Residence Renegotiation Approach would apply to all services, not just ADS, aligning with the view that the digital age has obsoleted physical presence and permanent es</w:t>
      </w:r>
      <w:r w:rsidR="0089075E">
        <w:rPr>
          <w:rFonts w:ascii="MinionPro-Regular" w:hAnsi="MinionPro-Regular"/>
          <w:color w:val="000000"/>
          <w:szCs w:val="24"/>
        </w:rPr>
        <w:t>t</w:t>
      </w:r>
      <w:r w:rsidRPr="00F96DED">
        <w:rPr>
          <w:rFonts w:ascii="MinionPro-Regular" w:hAnsi="MinionPro-Regular"/>
          <w:color w:val="000000"/>
          <w:szCs w:val="24"/>
        </w:rPr>
        <w:t xml:space="preserve">ablishment not only with respect to ADS, but rather with respect to services generally.  Similar to Article 12B, under a Source-Residence Renegotiation Approach, bilateral treaties would permit gross basis taxation at a negotiated rate for payments with respect to cross-border services.  Also similar to Article 12B, a Source-Residence Renegotiation Approach would provide an elective alternative pursuant to which a cross-border service provider would be subject to tax on profits instead of on revenue.  However, instead of using a formula like the one suggested in Article 12B, the service provider would elect to file an income tax return in the market jurisdiction.  The return would show the profits from the </w:t>
      </w:r>
      <w:r w:rsidR="00163212">
        <w:rPr>
          <w:rFonts w:ascii="MinionPro-Regular" w:hAnsi="MinionPro-Regular"/>
          <w:color w:val="000000"/>
          <w:szCs w:val="24"/>
        </w:rPr>
        <w:t>services</w:t>
      </w:r>
      <w:r w:rsidR="00163212" w:rsidRPr="00F96DED">
        <w:rPr>
          <w:rFonts w:ascii="MinionPro-Regular" w:hAnsi="MinionPro-Regular"/>
          <w:color w:val="000000"/>
          <w:szCs w:val="24"/>
        </w:rPr>
        <w:t xml:space="preserve"> </w:t>
      </w:r>
      <w:r w:rsidRPr="00F96DED">
        <w:rPr>
          <w:rFonts w:ascii="MinionPro-Regular" w:hAnsi="MinionPro-Regular"/>
          <w:color w:val="000000"/>
          <w:szCs w:val="24"/>
        </w:rPr>
        <w:t xml:space="preserve">in the same way as a return filed with respect to a permanent establishment in the market jurisdiction would show the profits from the </w:t>
      </w:r>
      <w:r w:rsidR="00163212">
        <w:rPr>
          <w:rFonts w:ascii="MinionPro-Regular" w:hAnsi="MinionPro-Regular"/>
          <w:color w:val="000000"/>
          <w:szCs w:val="24"/>
        </w:rPr>
        <w:t>services</w:t>
      </w:r>
      <w:r w:rsidRPr="00F96DED">
        <w:rPr>
          <w:rFonts w:ascii="MinionPro-Regular" w:hAnsi="MinionPro-Regular"/>
          <w:color w:val="000000"/>
          <w:szCs w:val="24"/>
        </w:rPr>
        <w:t xml:space="preserve">, rather than just an estimate based on general profitability.  </w:t>
      </w:r>
    </w:p>
    <w:p w14:paraId="5EEB5EE6" w14:textId="77777777" w:rsidR="00F96DED" w:rsidRPr="00F96DED" w:rsidRDefault="00F96DED" w:rsidP="00F96DED">
      <w:pPr>
        <w:jc w:val="both"/>
        <w:rPr>
          <w:rFonts w:ascii="MinionPro-Regular" w:hAnsi="MinionPro-Regular"/>
          <w:color w:val="000000"/>
          <w:szCs w:val="24"/>
        </w:rPr>
      </w:pPr>
    </w:p>
    <w:p w14:paraId="06A4784C" w14:textId="56007250"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The difficult part</w:t>
      </w:r>
      <w:r w:rsidR="00163212">
        <w:rPr>
          <w:rFonts w:ascii="MinionPro-Regular" w:hAnsi="MinionPro-Regular"/>
          <w:color w:val="000000"/>
          <w:szCs w:val="24"/>
        </w:rPr>
        <w:t>, then,</w:t>
      </w:r>
      <w:r w:rsidRPr="00F96DED">
        <w:rPr>
          <w:rFonts w:ascii="MinionPro-Regular" w:hAnsi="MinionPro-Regular"/>
          <w:color w:val="000000"/>
          <w:szCs w:val="24"/>
        </w:rPr>
        <w:t xml:space="preserve"> is determining how much of the profits </w:t>
      </w:r>
      <w:r w:rsidR="00163212">
        <w:rPr>
          <w:rFonts w:ascii="MinionPro-Regular" w:hAnsi="MinionPro-Regular"/>
          <w:color w:val="000000"/>
          <w:szCs w:val="24"/>
        </w:rPr>
        <w:t xml:space="preserve">reported </w:t>
      </w:r>
      <w:r w:rsidRPr="00F96DED">
        <w:rPr>
          <w:rFonts w:ascii="MinionPro-Regular" w:hAnsi="MinionPro-Regular"/>
          <w:color w:val="000000"/>
          <w:szCs w:val="24"/>
        </w:rPr>
        <w:t>on the return</w:t>
      </w:r>
      <w:r w:rsidR="00163212">
        <w:rPr>
          <w:rFonts w:ascii="MinionPro-Regular" w:hAnsi="MinionPro-Regular"/>
          <w:color w:val="000000"/>
          <w:szCs w:val="24"/>
        </w:rPr>
        <w:t xml:space="preserve"> in</w:t>
      </w:r>
      <w:r w:rsidRPr="00F96DED">
        <w:rPr>
          <w:rFonts w:ascii="MinionPro-Regular" w:hAnsi="MinionPro-Regular"/>
          <w:color w:val="000000"/>
          <w:szCs w:val="24"/>
        </w:rPr>
        <w:t xml:space="preserve"> the market jurisdiction should be </w:t>
      </w:r>
      <w:r w:rsidR="00163212">
        <w:rPr>
          <w:rFonts w:ascii="MinionPro-Regular" w:hAnsi="MinionPro-Regular"/>
          <w:color w:val="000000"/>
          <w:szCs w:val="24"/>
        </w:rPr>
        <w:t>subject</w:t>
      </w:r>
      <w:r w:rsidR="00163212" w:rsidRPr="00F96DED">
        <w:rPr>
          <w:rFonts w:ascii="MinionPro-Regular" w:hAnsi="MinionPro-Regular"/>
          <w:color w:val="000000"/>
          <w:szCs w:val="24"/>
        </w:rPr>
        <w:t xml:space="preserve"> </w:t>
      </w:r>
      <w:r w:rsidRPr="00F96DED">
        <w:rPr>
          <w:rFonts w:ascii="MinionPro-Regular" w:hAnsi="MinionPro-Regular"/>
          <w:color w:val="000000"/>
          <w:szCs w:val="24"/>
        </w:rPr>
        <w:t>to tax.  In this Part V</w:t>
      </w:r>
      <w:r w:rsidR="00163212">
        <w:rPr>
          <w:rFonts w:ascii="MinionPro-Regular" w:hAnsi="MinionPro-Regular"/>
          <w:color w:val="000000"/>
          <w:szCs w:val="24"/>
        </w:rPr>
        <w:t>.A</w:t>
      </w:r>
      <w:r w:rsidRPr="00F96DED">
        <w:rPr>
          <w:rFonts w:ascii="MinionPro-Regular" w:hAnsi="MinionPro-Regular"/>
          <w:color w:val="000000"/>
          <w:szCs w:val="24"/>
        </w:rPr>
        <w:t>, we have been referring to the jurisdictions from which the cross-border payment originates as a “market” jurisdiction rather than a “source” jurisdiction.  That is because the place from which revenue originates it not necessarily the source of the revenue.  For example, according to the Code, the place from which revenue originates is irrelevant in determining the source of income from services.  Thus, only part of the renegotiation is about whether the source or residence jurisdiction is entitled to tax the cross-border income.  The other part of the renegotiation is deciding how to divide the right to tax income between jurisdictions, when each jurisdiction can claim that it is the source of the income.  For example, in the ADS context, the revenue to the service provider comes from residents of the market jurisdiction.  However, the hardware, software development, maintenance</w:t>
      </w:r>
      <w:r w:rsidR="00952360">
        <w:rPr>
          <w:rFonts w:ascii="MinionPro-Regular" w:hAnsi="MinionPro-Regular"/>
          <w:color w:val="000000"/>
          <w:szCs w:val="24"/>
        </w:rPr>
        <w:t>,</w:t>
      </w:r>
      <w:r w:rsidRPr="00F96DED">
        <w:rPr>
          <w:rFonts w:ascii="MinionPro-Regular" w:hAnsi="MinionPro-Regular"/>
          <w:color w:val="000000"/>
          <w:szCs w:val="24"/>
        </w:rPr>
        <w:t xml:space="preserve"> and management </w:t>
      </w:r>
      <w:r w:rsidR="00872FCE">
        <w:rPr>
          <w:rFonts w:ascii="MinionPro-Regular" w:hAnsi="MinionPro-Regular"/>
          <w:color w:val="000000"/>
          <w:szCs w:val="24"/>
        </w:rPr>
        <w:t>are</w:t>
      </w:r>
      <w:r w:rsidR="00872FCE" w:rsidRPr="00F96DED">
        <w:rPr>
          <w:rFonts w:ascii="MinionPro-Regular" w:hAnsi="MinionPro-Regular"/>
          <w:color w:val="000000"/>
          <w:szCs w:val="24"/>
        </w:rPr>
        <w:t xml:space="preserve"> </w:t>
      </w:r>
      <w:r w:rsidRPr="00F96DED">
        <w:rPr>
          <w:rFonts w:ascii="MinionPro-Regular" w:hAnsi="MinionPro-Regular"/>
          <w:color w:val="000000"/>
          <w:szCs w:val="24"/>
        </w:rPr>
        <w:t xml:space="preserve">all outside of the market jurisdiction.  So here, yet again, we reach an impasse that seemingly can only be solved by formulary apportionment.  </w:t>
      </w:r>
    </w:p>
    <w:p w14:paraId="6EA7ADCF" w14:textId="77777777" w:rsidR="00F96DED" w:rsidRPr="00F96DED" w:rsidRDefault="00F96DED" w:rsidP="00F96DED">
      <w:pPr>
        <w:jc w:val="both"/>
        <w:rPr>
          <w:rFonts w:ascii="MinionPro-Regular" w:hAnsi="MinionPro-Regular"/>
          <w:color w:val="000000"/>
          <w:szCs w:val="24"/>
        </w:rPr>
      </w:pPr>
    </w:p>
    <w:p w14:paraId="31C3D2DD" w14:textId="2E26AE74"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In Article 12B, the formula is incredibly simple</w:t>
      </w:r>
      <w:r w:rsidR="00952360">
        <w:rPr>
          <w:rFonts w:ascii="MinionPro-Regular" w:hAnsi="MinionPro-Regular"/>
          <w:color w:val="000000"/>
          <w:szCs w:val="24"/>
        </w:rPr>
        <w:t>:</w:t>
      </w:r>
      <w:r w:rsidRPr="00F96DED">
        <w:rPr>
          <w:rFonts w:ascii="MinionPro-Regular" w:hAnsi="MinionPro-Regular"/>
          <w:color w:val="000000"/>
          <w:szCs w:val="24"/>
        </w:rPr>
        <w:t xml:space="preserve"> profit multiplied by 30%.  This follows along with </w:t>
      </w:r>
      <w:r w:rsidR="00952360">
        <w:rPr>
          <w:rFonts w:ascii="MinionPro-Regular" w:hAnsi="MinionPro-Regular"/>
          <w:color w:val="000000"/>
          <w:szCs w:val="24"/>
        </w:rPr>
        <w:t xml:space="preserve">the </w:t>
      </w:r>
      <w:r w:rsidRPr="00F96DED">
        <w:rPr>
          <w:rFonts w:ascii="MinionPro-Regular" w:hAnsi="MinionPro-Regular"/>
          <w:color w:val="000000"/>
          <w:szCs w:val="24"/>
        </w:rPr>
        <w:t xml:space="preserve">Pillar I approach of picking an arbitrary percentage and saying that should be a market jurisdiction’s cut.  Although describing an amount as arbitrary generally implies a pejorative, in </w:t>
      </w:r>
      <w:r w:rsidRPr="00F96DED">
        <w:rPr>
          <w:rFonts w:ascii="MinionPro-Regular" w:hAnsi="MinionPro-Regular"/>
          <w:color w:val="000000"/>
          <w:szCs w:val="24"/>
        </w:rPr>
        <w:lastRenderedPageBreak/>
        <w:t xml:space="preserve">the context of treaty negotiation </w:t>
      </w:r>
      <w:r w:rsidR="00952360">
        <w:rPr>
          <w:rFonts w:ascii="MinionPro-Regular" w:hAnsi="MinionPro-Regular"/>
          <w:color w:val="000000"/>
          <w:szCs w:val="24"/>
        </w:rPr>
        <w:t>this</w:t>
      </w:r>
      <w:r w:rsidR="00952360" w:rsidRPr="00F96DED">
        <w:rPr>
          <w:rFonts w:ascii="MinionPro-Regular" w:hAnsi="MinionPro-Regular"/>
          <w:color w:val="000000"/>
          <w:szCs w:val="24"/>
        </w:rPr>
        <w:t xml:space="preserve"> </w:t>
      </w:r>
      <w:r w:rsidRPr="00F96DED">
        <w:rPr>
          <w:rFonts w:ascii="MinionPro-Regular" w:hAnsi="MinionPro-Regular"/>
          <w:color w:val="000000"/>
          <w:szCs w:val="24"/>
        </w:rPr>
        <w:t>is not necessarily</w:t>
      </w:r>
      <w:r w:rsidR="00952360">
        <w:rPr>
          <w:rFonts w:ascii="MinionPro-Regular" w:hAnsi="MinionPro-Regular"/>
          <w:color w:val="000000"/>
          <w:szCs w:val="24"/>
        </w:rPr>
        <w:t xml:space="preserve"> the case</w:t>
      </w:r>
      <w:r w:rsidRPr="00F96DED">
        <w:rPr>
          <w:rFonts w:ascii="MinionPro-Regular" w:hAnsi="MinionPro-Regular"/>
          <w:color w:val="000000"/>
          <w:szCs w:val="24"/>
        </w:rPr>
        <w:t>, as treaty rates with respect to passive</w:t>
      </w:r>
      <w:r w:rsidR="00952360">
        <w:rPr>
          <w:rFonts w:ascii="MinionPro-Regular" w:hAnsi="MinionPro-Regular"/>
          <w:color w:val="000000"/>
          <w:szCs w:val="24"/>
        </w:rPr>
        <w:t>-</w:t>
      </w:r>
      <w:r w:rsidRPr="00F96DED">
        <w:rPr>
          <w:rFonts w:ascii="MinionPro-Regular" w:hAnsi="MinionPro-Regular"/>
          <w:color w:val="000000"/>
          <w:szCs w:val="24"/>
        </w:rPr>
        <w:t xml:space="preserve">type income (dividends, interest, royalties, etc.) are arbitrary in the same sense.  Also, the percentage being arbitrary is less offensive when, as is the case here, there is no possibility for the use of an arbitrary amount to lead to double taxation.  </w:t>
      </w:r>
    </w:p>
    <w:p w14:paraId="407D3B15" w14:textId="77777777" w:rsidR="00F96DED" w:rsidRPr="00F96DED" w:rsidRDefault="00F96DED" w:rsidP="00F96DED">
      <w:pPr>
        <w:jc w:val="both"/>
        <w:rPr>
          <w:rFonts w:ascii="MinionPro-Regular" w:hAnsi="MinionPro-Regular"/>
          <w:color w:val="000000"/>
          <w:szCs w:val="24"/>
        </w:rPr>
      </w:pPr>
    </w:p>
    <w:p w14:paraId="1F506375" w14:textId="5A094B6B"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The Source-Residence Renegotiation Approach can be viewed as a combination of</w:t>
      </w:r>
      <w:r w:rsidR="00952360">
        <w:rPr>
          <w:rFonts w:ascii="MinionPro-Regular" w:hAnsi="MinionPro-Regular"/>
          <w:color w:val="000000"/>
          <w:szCs w:val="24"/>
        </w:rPr>
        <w:t>,</w:t>
      </w:r>
      <w:r w:rsidRPr="00F96DED">
        <w:rPr>
          <w:rFonts w:ascii="MinionPro-Regular" w:hAnsi="MinionPro-Regular"/>
          <w:color w:val="000000"/>
          <w:szCs w:val="24"/>
        </w:rPr>
        <w:t xml:space="preserve"> and improvement upon</w:t>
      </w:r>
      <w:r w:rsidR="00952360">
        <w:rPr>
          <w:rFonts w:ascii="MinionPro-Regular" w:hAnsi="MinionPro-Regular"/>
          <w:color w:val="000000"/>
          <w:szCs w:val="24"/>
        </w:rPr>
        <w:t>,</w:t>
      </w:r>
      <w:r w:rsidRPr="00F96DED">
        <w:rPr>
          <w:rFonts w:ascii="MinionPro-Regular" w:hAnsi="MinionPro-Regular"/>
          <w:color w:val="000000"/>
          <w:szCs w:val="24"/>
        </w:rPr>
        <w:t xml:space="preserve"> the DPT and DST regimes.  This approach defaults to a DST-like approach, permitting a market jurisdiction to impose a gross basis tax on a service provider’s cross-border revenue.  The Source-Residence Renegotiation Approach improves on DSTs because gross basis taxation is imposed at a negotiated rate and gross basis taxation is only a default.  Of course it is also an enormous improvement over DSTs in that the residence jurisdiction would be obligated </w:t>
      </w:r>
      <w:r w:rsidR="0051600E">
        <w:rPr>
          <w:rFonts w:ascii="MinionPro-Regular" w:hAnsi="MinionPro-Regular"/>
          <w:color w:val="000000"/>
          <w:szCs w:val="24"/>
        </w:rPr>
        <w:t xml:space="preserve">by treaty </w:t>
      </w:r>
      <w:r w:rsidRPr="00F96DED">
        <w:rPr>
          <w:rFonts w:ascii="MinionPro-Regular" w:hAnsi="MinionPro-Regular"/>
          <w:color w:val="000000"/>
          <w:szCs w:val="24"/>
        </w:rPr>
        <w:t xml:space="preserve">to provide a credit or exclusion to prevent double taxation.  </w:t>
      </w:r>
    </w:p>
    <w:p w14:paraId="6A043646" w14:textId="5C5DE1C5" w:rsidR="00F96DED" w:rsidRPr="00F96DED" w:rsidRDefault="00F96DED" w:rsidP="00F96DED">
      <w:pPr>
        <w:spacing w:before="240" w:after="240"/>
        <w:jc w:val="both"/>
        <w:rPr>
          <w:rFonts w:ascii="MinionPro-Regular" w:hAnsi="MinionPro-Regular"/>
          <w:color w:val="000000"/>
          <w:szCs w:val="24"/>
        </w:rPr>
      </w:pPr>
      <w:r w:rsidRPr="00F96DED">
        <w:rPr>
          <w:rFonts w:ascii="MinionPro-Regular" w:hAnsi="MinionPro-Regular"/>
          <w:color w:val="000000"/>
          <w:szCs w:val="24"/>
        </w:rPr>
        <w:t xml:space="preserve">The Source-Residence Renegotiation Approach </w:t>
      </w:r>
      <w:r w:rsidR="00952360">
        <w:rPr>
          <w:rFonts w:ascii="MinionPro-Regular" w:hAnsi="MinionPro-Regular"/>
          <w:color w:val="000000"/>
          <w:szCs w:val="24"/>
        </w:rPr>
        <w:t xml:space="preserve">also </w:t>
      </w:r>
      <w:r w:rsidRPr="00F96DED">
        <w:rPr>
          <w:rFonts w:ascii="MinionPro-Regular" w:hAnsi="MinionPro-Regular"/>
          <w:color w:val="000000"/>
          <w:szCs w:val="24"/>
        </w:rPr>
        <w:t xml:space="preserve">improves on </w:t>
      </w:r>
      <w:r w:rsidR="00952360">
        <w:rPr>
          <w:rFonts w:ascii="MinionPro-Regular" w:hAnsi="MinionPro-Regular"/>
          <w:color w:val="000000"/>
          <w:szCs w:val="24"/>
        </w:rPr>
        <w:t xml:space="preserve">the </w:t>
      </w:r>
      <w:r w:rsidRPr="00F96DED">
        <w:rPr>
          <w:rFonts w:ascii="MinionPro-Regular" w:hAnsi="MinionPro-Regular"/>
          <w:color w:val="000000"/>
          <w:szCs w:val="24"/>
        </w:rPr>
        <w:t xml:space="preserve">DPT.  First, </w:t>
      </w:r>
      <w:r w:rsidR="00332047">
        <w:rPr>
          <w:rFonts w:ascii="MinionPro-Regular" w:hAnsi="MinionPro-Regular"/>
          <w:color w:val="000000"/>
          <w:szCs w:val="24"/>
        </w:rPr>
        <w:t>the</w:t>
      </w:r>
      <w:r w:rsidRPr="00F96DED">
        <w:rPr>
          <w:rFonts w:ascii="MinionPro-Regular" w:hAnsi="MinionPro-Regular"/>
          <w:color w:val="000000"/>
          <w:szCs w:val="24"/>
        </w:rPr>
        <w:t xml:space="preserve"> Source-Residence Renegotiation Approach removes uncertainty over when a market jurisdiction will impose tax.  Second, </w:t>
      </w:r>
      <w:r w:rsidR="00332047">
        <w:rPr>
          <w:rFonts w:ascii="MinionPro-Regular" w:hAnsi="MinionPro-Regular"/>
          <w:color w:val="000000"/>
          <w:szCs w:val="24"/>
        </w:rPr>
        <w:t>the</w:t>
      </w:r>
      <w:r w:rsidRPr="00F96DED">
        <w:rPr>
          <w:rFonts w:ascii="MinionPro-Regular" w:hAnsi="MinionPro-Regular"/>
          <w:color w:val="000000"/>
          <w:szCs w:val="24"/>
        </w:rPr>
        <w:t xml:space="preserve"> Source-Residence Renegotiation Approach results in an ordinary tax</w:t>
      </w:r>
      <w:r w:rsidR="00952360">
        <w:rPr>
          <w:rFonts w:ascii="MinionPro-Regular" w:hAnsi="MinionPro-Regular"/>
          <w:color w:val="000000"/>
          <w:szCs w:val="24"/>
        </w:rPr>
        <w:t>,</w:t>
      </w:r>
      <w:r w:rsidRPr="00F96DED">
        <w:rPr>
          <w:rFonts w:ascii="MinionPro-Regular" w:hAnsi="MinionPro-Regular"/>
          <w:color w:val="000000"/>
          <w:szCs w:val="24"/>
        </w:rPr>
        <w:t xml:space="preserve"> not a punitive tax.  Third, and most importantly, under </w:t>
      </w:r>
      <w:r w:rsidR="00332047">
        <w:rPr>
          <w:rFonts w:ascii="MinionPro-Regular" w:hAnsi="MinionPro-Regular"/>
          <w:color w:val="000000"/>
          <w:szCs w:val="24"/>
        </w:rPr>
        <w:t>the</w:t>
      </w:r>
      <w:r w:rsidRPr="00F96DED">
        <w:rPr>
          <w:rFonts w:ascii="MinionPro-Regular" w:hAnsi="MinionPro-Regular"/>
          <w:color w:val="000000"/>
          <w:szCs w:val="24"/>
        </w:rPr>
        <w:t xml:space="preserve"> Source-Residence Renegotiation Approach</w:t>
      </w:r>
      <w:r w:rsidR="00952360">
        <w:rPr>
          <w:rFonts w:ascii="MinionPro-Regular" w:hAnsi="MinionPro-Regular"/>
          <w:color w:val="000000"/>
          <w:szCs w:val="24"/>
        </w:rPr>
        <w:t>,</w:t>
      </w:r>
      <w:r w:rsidRPr="00F96DED">
        <w:rPr>
          <w:rFonts w:ascii="MinionPro-Regular" w:hAnsi="MinionPro-Regular"/>
          <w:color w:val="000000"/>
          <w:szCs w:val="24"/>
        </w:rPr>
        <w:t xml:space="preserve"> a market jurisdiction would not appropriate all of the cross-border income for its own taxation, when the permanent establishment threshold is not crossed.  As discussed above, a key issue with the DPT is that it does not assert jurisdiction over income that otherwise would not be subject to tax.  It asserts jurisdiction over income that it relinquished, under </w:t>
      </w:r>
      <w:r w:rsidR="00952360">
        <w:rPr>
          <w:rFonts w:ascii="MinionPro-Regular" w:hAnsi="MinionPro-Regular"/>
          <w:color w:val="000000"/>
          <w:szCs w:val="24"/>
        </w:rPr>
        <w:t>a t</w:t>
      </w:r>
      <w:r w:rsidRPr="00F96DED">
        <w:rPr>
          <w:rFonts w:ascii="MinionPro-Regular" w:hAnsi="MinionPro-Regular"/>
          <w:color w:val="000000"/>
          <w:szCs w:val="24"/>
        </w:rPr>
        <w:t xml:space="preserve">reaty, to its </w:t>
      </w:r>
      <w:r w:rsidR="00952360">
        <w:rPr>
          <w:rFonts w:ascii="MinionPro-Regular" w:hAnsi="MinionPro-Regular"/>
          <w:color w:val="000000"/>
          <w:szCs w:val="24"/>
        </w:rPr>
        <w:t>t</w:t>
      </w:r>
      <w:r w:rsidRPr="00F96DED">
        <w:rPr>
          <w:rFonts w:ascii="MinionPro-Regular" w:hAnsi="MinionPro-Regular"/>
          <w:color w:val="000000"/>
          <w:szCs w:val="24"/>
        </w:rPr>
        <w:t xml:space="preserve">reaty partner.  The Source-Residence Renegotiation Approach sets aside the cliff effect of “yes </w:t>
      </w:r>
      <w:r w:rsidR="00952360">
        <w:rPr>
          <w:rFonts w:ascii="MinionPro-Regular" w:hAnsi="MinionPro-Regular"/>
          <w:color w:val="000000"/>
          <w:szCs w:val="24"/>
        </w:rPr>
        <w:t>permanent establishment</w:t>
      </w:r>
      <w:r w:rsidRPr="00F96DED">
        <w:rPr>
          <w:rFonts w:ascii="MinionPro-Regular" w:hAnsi="MinionPro-Regular"/>
          <w:color w:val="000000"/>
          <w:szCs w:val="24"/>
        </w:rPr>
        <w:t xml:space="preserve">” or “no </w:t>
      </w:r>
      <w:r w:rsidR="00952360">
        <w:rPr>
          <w:rFonts w:ascii="MinionPro-Regular" w:hAnsi="MinionPro-Regular"/>
          <w:color w:val="000000"/>
          <w:szCs w:val="24"/>
        </w:rPr>
        <w:t>permanent establishment</w:t>
      </w:r>
      <w:r w:rsidRPr="00F96DED">
        <w:rPr>
          <w:rFonts w:ascii="MinionPro-Regular" w:hAnsi="MinionPro-Regular"/>
          <w:color w:val="000000"/>
          <w:szCs w:val="24"/>
        </w:rPr>
        <w:t>” deciding which party has the right to tax all of the income associated with a business operation.  However, the Source-Residence Renegotiation Approach does raise questions when a nonresident service provider has a permanent establishment in a market jurisdiction.  In that scenario, the residen</w:t>
      </w:r>
      <w:r w:rsidR="00332047">
        <w:rPr>
          <w:rFonts w:ascii="MinionPro-Regular" w:hAnsi="MinionPro-Regular"/>
          <w:color w:val="000000"/>
          <w:szCs w:val="24"/>
        </w:rPr>
        <w:t>ce</w:t>
      </w:r>
      <w:r w:rsidRPr="00F96DED">
        <w:rPr>
          <w:rFonts w:ascii="MinionPro-Regular" w:hAnsi="MinionPro-Regular"/>
          <w:color w:val="000000"/>
          <w:szCs w:val="24"/>
        </w:rPr>
        <w:t xml:space="preserve"> jurisdiction relinquishes its claim to tax 100% of the income associated with the permanent establishment.  That outcome does not make very much sense if we are saying that the concept of permanent establishment is obsolete.  Thus, further consideration may be warranted in considering whether a market jurisdiction should relinquish some of its taxing rights with respect to income attributable to a permanent establishment in the market jurisdiction.  </w:t>
      </w:r>
    </w:p>
    <w:p w14:paraId="3EA3132A" w14:textId="77777777" w:rsidR="00F96DED" w:rsidRPr="00F96DED" w:rsidRDefault="00F96DED" w:rsidP="00F96DED">
      <w:pPr>
        <w:keepNext/>
        <w:keepLines/>
        <w:numPr>
          <w:ilvl w:val="1"/>
          <w:numId w:val="12"/>
        </w:numPr>
        <w:spacing w:before="240" w:after="240" w:line="240" w:lineRule="exact"/>
        <w:ind w:right="720"/>
        <w:outlineLvl w:val="1"/>
        <w:rPr>
          <w:b/>
        </w:rPr>
      </w:pPr>
      <w:r w:rsidRPr="00F96DED">
        <w:rPr>
          <w:b/>
        </w:rPr>
        <w:t>Alternative UTPR</w:t>
      </w:r>
    </w:p>
    <w:p w14:paraId="11231624" w14:textId="2183D5F3" w:rsidR="00F96DED" w:rsidRPr="00F96DED" w:rsidRDefault="00F96DED" w:rsidP="00F96DED">
      <w:pPr>
        <w:spacing w:before="240" w:after="240"/>
        <w:jc w:val="both"/>
        <w:rPr>
          <w:rFonts w:ascii="MinionPro-Regular" w:hAnsi="MinionPro-Regular"/>
          <w:color w:val="000000"/>
          <w:szCs w:val="24"/>
        </w:rPr>
      </w:pPr>
      <w:r w:rsidRPr="00F96DED">
        <w:rPr>
          <w:rFonts w:ascii="MinionPro-Regular" w:hAnsi="MinionPro-Regular"/>
          <w:color w:val="000000"/>
          <w:szCs w:val="24"/>
        </w:rPr>
        <w:t>Running counter to any trend discounting the significan</w:t>
      </w:r>
      <w:r w:rsidR="00332047">
        <w:rPr>
          <w:rFonts w:ascii="MinionPro-Regular" w:hAnsi="MinionPro-Regular"/>
          <w:color w:val="000000"/>
          <w:szCs w:val="24"/>
        </w:rPr>
        <w:t>ce</w:t>
      </w:r>
      <w:r w:rsidRPr="00F96DED">
        <w:rPr>
          <w:rFonts w:ascii="MinionPro-Regular" w:hAnsi="MinionPro-Regular"/>
          <w:color w:val="000000"/>
          <w:szCs w:val="24"/>
        </w:rPr>
        <w:t xml:space="preserve"> of permanent establishment is UTPR, which places more significance on permanent establishment than it ever had before.  Until UTPR came along, permanent establishment was just a threshold beyond which a residence jurisdiction yielded taxing rights</w:t>
      </w:r>
      <w:r w:rsidR="00C068ED">
        <w:rPr>
          <w:rFonts w:ascii="MinionPro-Regular" w:hAnsi="MinionPro-Regular"/>
          <w:color w:val="000000"/>
          <w:szCs w:val="24"/>
        </w:rPr>
        <w:t xml:space="preserve"> to a source jurisdiction</w:t>
      </w:r>
      <w:r w:rsidRPr="00F96DED">
        <w:rPr>
          <w:rFonts w:ascii="MinionPro-Regular" w:hAnsi="MinionPro-Regular"/>
          <w:color w:val="000000"/>
          <w:szCs w:val="24"/>
        </w:rPr>
        <w:t xml:space="preserve"> with respect to business income </w:t>
      </w:r>
      <w:r w:rsidR="00C068ED">
        <w:rPr>
          <w:rFonts w:ascii="MinionPro-Regular" w:hAnsi="MinionPro-Regular"/>
          <w:color w:val="000000"/>
          <w:szCs w:val="24"/>
        </w:rPr>
        <w:t xml:space="preserve">attributable </w:t>
      </w:r>
      <w:r w:rsidRPr="00F96DED">
        <w:rPr>
          <w:rFonts w:ascii="MinionPro-Regular" w:hAnsi="MinionPro-Regular"/>
          <w:color w:val="000000"/>
          <w:szCs w:val="24"/>
        </w:rPr>
        <w:t xml:space="preserve">to </w:t>
      </w:r>
      <w:r w:rsidR="00C068ED">
        <w:rPr>
          <w:rFonts w:ascii="MinionPro-Regular" w:hAnsi="MinionPro-Regular"/>
          <w:color w:val="000000"/>
          <w:szCs w:val="24"/>
        </w:rPr>
        <w:t xml:space="preserve">that </w:t>
      </w:r>
      <w:r w:rsidRPr="00F96DED">
        <w:rPr>
          <w:rFonts w:ascii="MinionPro-Regular" w:hAnsi="MinionPro-Regular"/>
          <w:color w:val="000000"/>
          <w:szCs w:val="24"/>
        </w:rPr>
        <w:t>source jurisdiction.  According to UTPR, however, having a nonresident’s permanent establishment in a country means there is sufficient connect</w:t>
      </w:r>
      <w:r w:rsidR="00332047">
        <w:rPr>
          <w:rFonts w:ascii="MinionPro-Regular" w:hAnsi="MinionPro-Regular"/>
          <w:color w:val="000000"/>
          <w:szCs w:val="24"/>
        </w:rPr>
        <w:t>ion</w:t>
      </w:r>
      <w:r w:rsidRPr="00F96DED">
        <w:rPr>
          <w:rFonts w:ascii="MinionPro-Regular" w:hAnsi="MinionPro-Regular"/>
          <w:color w:val="000000"/>
          <w:szCs w:val="24"/>
        </w:rPr>
        <w:t xml:space="preserve"> between a country and a nonresident for the country to view the nonresident as a resident and </w:t>
      </w:r>
      <w:r w:rsidR="00332047">
        <w:rPr>
          <w:rFonts w:ascii="MinionPro-Regular" w:hAnsi="MinionPro-Regular"/>
          <w:color w:val="000000"/>
          <w:szCs w:val="24"/>
        </w:rPr>
        <w:t xml:space="preserve">thus </w:t>
      </w:r>
      <w:r w:rsidRPr="00F96DED">
        <w:rPr>
          <w:rFonts w:ascii="MinionPro-Regular" w:hAnsi="MinionPro-Regular"/>
          <w:color w:val="000000"/>
          <w:szCs w:val="24"/>
        </w:rPr>
        <w:t xml:space="preserve">have the right to tax the nonresident’s income beyond the income connected to the permanent establishment and beyond the income related to the </w:t>
      </w:r>
      <w:r w:rsidR="00332047">
        <w:rPr>
          <w:rFonts w:ascii="MinionPro-Regular" w:hAnsi="MinionPro-Regular"/>
          <w:color w:val="000000"/>
          <w:szCs w:val="24"/>
        </w:rPr>
        <w:t>country</w:t>
      </w:r>
      <w:r w:rsidRPr="00F96DED">
        <w:rPr>
          <w:rFonts w:ascii="MinionPro-Regular" w:hAnsi="MinionPro-Regular"/>
          <w:color w:val="000000"/>
          <w:szCs w:val="24"/>
        </w:rPr>
        <w:t xml:space="preserve">.  It is doubtful that this outcome is the result of a thoughtful policy decision that, in fact, the permanent establishment threshold is more vital and relevant than ever.  More likely, it is yet another decision that was made solely on the basis of applying Pillar II as far as it could be applied.  Practically, taxpayers are required to file tax returns and pay tax on their business profits in jurisdictions in which they have permanent establishments, so such returns </w:t>
      </w:r>
      <w:r w:rsidRPr="00F96DED">
        <w:rPr>
          <w:rFonts w:ascii="MinionPro-Regular" w:hAnsi="MinionPro-Regular"/>
          <w:color w:val="000000"/>
          <w:szCs w:val="24"/>
        </w:rPr>
        <w:lastRenderedPageBreak/>
        <w:t xml:space="preserve">could also be made to include GloBE returns.  Furthermore, if permanent establishments were not essentially treated as resident companies under Pillar II, to avoid Pillar II, at least some enterprises could get rid of all of their entities incorporated in UTPR jurisdictions and only operate in those jurisdictions through permanent establishments. </w:t>
      </w:r>
    </w:p>
    <w:p w14:paraId="0A151B6E" w14:textId="57CA4FFF"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In this way and many others, UTPR is unprincipled.  As we have discussed, Pillar II denies the fundamental principles of jurisdiction to tax.  Such principles view source and residence as providing a jurisdiction the right to tax.  If a jurisdiction is the source of income or the location of an activity or property, the jurisdiction has been viewed as having the right to tax the income, activity</w:t>
      </w:r>
      <w:r w:rsidR="005E6576">
        <w:rPr>
          <w:rFonts w:ascii="MinionPro-Regular" w:hAnsi="MinionPro-Regular"/>
          <w:color w:val="000000"/>
          <w:szCs w:val="24"/>
        </w:rPr>
        <w:t>,</w:t>
      </w:r>
      <w:r w:rsidRPr="00F96DED">
        <w:rPr>
          <w:rFonts w:ascii="MinionPro-Regular" w:hAnsi="MinionPro-Regular"/>
          <w:color w:val="000000"/>
          <w:szCs w:val="24"/>
        </w:rPr>
        <w:t xml:space="preserve"> or property.  If a person is a resident of a jurisdiction, the jurisdiction has been viewed as having the right to tax the income, activity</w:t>
      </w:r>
      <w:r w:rsidR="005E6576">
        <w:rPr>
          <w:rFonts w:ascii="MinionPro-Regular" w:hAnsi="MinionPro-Regular"/>
          <w:color w:val="000000"/>
          <w:szCs w:val="24"/>
        </w:rPr>
        <w:t>,</w:t>
      </w:r>
      <w:r w:rsidRPr="00F96DED">
        <w:rPr>
          <w:rFonts w:ascii="MinionPro-Regular" w:hAnsi="MinionPro-Regular"/>
          <w:color w:val="000000"/>
          <w:szCs w:val="24"/>
        </w:rPr>
        <w:t xml:space="preserve"> or property of </w:t>
      </w:r>
      <w:r w:rsidR="005E6576">
        <w:rPr>
          <w:rFonts w:ascii="MinionPro-Regular" w:hAnsi="MinionPro-Regular"/>
          <w:color w:val="000000"/>
          <w:szCs w:val="24"/>
        </w:rPr>
        <w:t>the</w:t>
      </w:r>
      <w:r w:rsidR="005E6576" w:rsidRPr="00F96DED">
        <w:rPr>
          <w:rFonts w:ascii="MinionPro-Regular" w:hAnsi="MinionPro-Regular"/>
          <w:color w:val="000000"/>
          <w:szCs w:val="24"/>
        </w:rPr>
        <w:t xml:space="preserve"> </w:t>
      </w:r>
      <w:r w:rsidRPr="00F96DED">
        <w:rPr>
          <w:rFonts w:ascii="MinionPro-Regular" w:hAnsi="MinionPro-Regular"/>
          <w:color w:val="000000"/>
          <w:szCs w:val="24"/>
        </w:rPr>
        <w:t>resident.  UTPR claims that a jurisdiction has the right to tax anyone, residents or nonresidents (permanent establishments</w:t>
      </w:r>
      <w:r w:rsidR="005E6576">
        <w:rPr>
          <w:rFonts w:ascii="MinionPro-Regular" w:hAnsi="MinionPro-Regular"/>
          <w:color w:val="000000"/>
          <w:szCs w:val="24"/>
        </w:rPr>
        <w:t xml:space="preserve"> included</w:t>
      </w:r>
      <w:r w:rsidRPr="00F96DED">
        <w:rPr>
          <w:rFonts w:ascii="MinionPro-Regular" w:hAnsi="MinionPro-Regular"/>
          <w:color w:val="000000"/>
          <w:szCs w:val="24"/>
        </w:rPr>
        <w:t>), as much as it wants to tax them.  UTPR is designed as a Top-Up Tax, but if we agree that a jurisdiction has the right to impose UTPR</w:t>
      </w:r>
      <w:r w:rsidR="005E6576">
        <w:rPr>
          <w:rFonts w:ascii="MinionPro-Regular" w:hAnsi="MinionPro-Regular"/>
          <w:color w:val="000000"/>
          <w:szCs w:val="24"/>
        </w:rPr>
        <w:t>,</w:t>
      </w:r>
      <w:r w:rsidRPr="00F96DED">
        <w:rPr>
          <w:rFonts w:ascii="MinionPro-Regular" w:hAnsi="MinionPro-Regular"/>
          <w:color w:val="000000"/>
          <w:szCs w:val="24"/>
        </w:rPr>
        <w:t xml:space="preserve"> there is no principle that limits a jurisdiction only to imposing Top-Up Tax. </w:t>
      </w:r>
    </w:p>
    <w:p w14:paraId="66C9EED9" w14:textId="77777777" w:rsidR="00F96DED" w:rsidRPr="00F96DED" w:rsidRDefault="00F96DED" w:rsidP="00F96DED">
      <w:pPr>
        <w:jc w:val="both"/>
        <w:rPr>
          <w:rFonts w:ascii="MinionPro-Regular" w:hAnsi="MinionPro-Regular"/>
          <w:color w:val="000000"/>
          <w:szCs w:val="24"/>
        </w:rPr>
      </w:pPr>
    </w:p>
    <w:p w14:paraId="6BDCFB42" w14:textId="7B0310B9"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 xml:space="preserve">There is also no real principle behind which countries are allocated </w:t>
      </w:r>
      <w:r w:rsidR="005E6576">
        <w:rPr>
          <w:rFonts w:ascii="MinionPro-Regular" w:hAnsi="MinionPro-Regular"/>
          <w:color w:val="000000"/>
          <w:szCs w:val="24"/>
        </w:rPr>
        <w:t xml:space="preserve">rights to impose a </w:t>
      </w:r>
      <w:r w:rsidRPr="00F96DED">
        <w:rPr>
          <w:rFonts w:ascii="MinionPro-Regular" w:hAnsi="MinionPro-Regular"/>
          <w:color w:val="000000"/>
          <w:szCs w:val="24"/>
        </w:rPr>
        <w:t xml:space="preserve">Top-Up </w:t>
      </w:r>
      <w:r w:rsidR="005E6576">
        <w:rPr>
          <w:rFonts w:ascii="MinionPro-Regular" w:hAnsi="MinionPro-Regular"/>
          <w:color w:val="000000"/>
          <w:szCs w:val="24"/>
        </w:rPr>
        <w:t>Tax</w:t>
      </w:r>
      <w:r w:rsidRPr="00F96DED">
        <w:rPr>
          <w:rFonts w:ascii="MinionPro-Regular" w:hAnsi="MinionPro-Regular"/>
          <w:color w:val="000000"/>
          <w:szCs w:val="24"/>
        </w:rPr>
        <w:t xml:space="preserve">.  We noted earlier </w:t>
      </w:r>
      <w:r w:rsidR="005E6576">
        <w:rPr>
          <w:rFonts w:ascii="MinionPro-Regular" w:hAnsi="MinionPro-Regular"/>
          <w:color w:val="000000"/>
          <w:szCs w:val="24"/>
        </w:rPr>
        <w:t xml:space="preserve">that the UTPR jurisdiction </w:t>
      </w:r>
      <w:r w:rsidRPr="00F96DED">
        <w:rPr>
          <w:rFonts w:ascii="MinionPro-Regular" w:hAnsi="MinionPro-Regular"/>
          <w:color w:val="000000"/>
          <w:szCs w:val="24"/>
        </w:rPr>
        <w:t xml:space="preserve">apportionment formula is based in equal parts on number of employees and value of tangible property in a jurisdiction.  As provided in the </w:t>
      </w:r>
      <w:r w:rsidR="005E6576">
        <w:rPr>
          <w:rFonts w:ascii="MinionPro-Regular" w:hAnsi="MinionPro-Regular"/>
          <w:color w:val="000000"/>
          <w:szCs w:val="24"/>
        </w:rPr>
        <w:t>March 2022 C</w:t>
      </w:r>
      <w:r w:rsidRPr="00F96DED">
        <w:rPr>
          <w:rFonts w:ascii="MinionPro-Regular" w:hAnsi="MinionPro-Regular"/>
          <w:color w:val="000000"/>
          <w:szCs w:val="24"/>
        </w:rPr>
        <w:t xml:space="preserve">ommentary, this apportionment is not focused on relative entitlements and is instead focused on making sure that all of the Top-Up Tax gets </w:t>
      </w:r>
      <w:r w:rsidR="00360796">
        <w:rPr>
          <w:rFonts w:ascii="MinionPro-Regular" w:hAnsi="MinionPro-Regular"/>
          <w:color w:val="000000"/>
          <w:szCs w:val="24"/>
        </w:rPr>
        <w:t>levied</w:t>
      </w:r>
      <w:r w:rsidRPr="00F96DED">
        <w:rPr>
          <w:rFonts w:ascii="MinionPro-Regular" w:hAnsi="MinionPro-Regular"/>
          <w:color w:val="000000"/>
          <w:szCs w:val="24"/>
        </w:rPr>
        <w:t>.  The commentary provides:</w:t>
      </w:r>
    </w:p>
    <w:p w14:paraId="179FF98E" w14:textId="77777777" w:rsidR="00F96DED" w:rsidRPr="00F96DED" w:rsidRDefault="00F96DED" w:rsidP="00F96DED">
      <w:pPr>
        <w:jc w:val="both"/>
        <w:rPr>
          <w:rFonts w:ascii="MinionPro-Regular" w:hAnsi="MinionPro-Regular"/>
          <w:color w:val="000000"/>
          <w:szCs w:val="24"/>
        </w:rPr>
      </w:pPr>
    </w:p>
    <w:p w14:paraId="6F3589AF" w14:textId="4863063F" w:rsidR="00F96DED" w:rsidRPr="00F96DED" w:rsidRDefault="00F96DED" w:rsidP="00113F92">
      <w:pPr>
        <w:ind w:left="1440" w:right="1440"/>
        <w:jc w:val="both"/>
        <w:rPr>
          <w:rFonts w:ascii="MinionPro-Regular" w:hAnsi="MinionPro-Regular"/>
          <w:color w:val="000000"/>
          <w:szCs w:val="24"/>
        </w:rPr>
      </w:pPr>
      <w:r w:rsidRPr="00F96DED">
        <w:rPr>
          <w:rFonts w:ascii="MinionPro-Regular" w:hAnsi="MinionPro-Regular"/>
          <w:color w:val="000000"/>
          <w:szCs w:val="24"/>
        </w:rPr>
        <w:t xml:space="preserve">The UTPR Percentage is determined on the basis of factors that reflect the relative substance of the MNE Group in each UTPR Jurisdiction. </w:t>
      </w:r>
      <w:r w:rsidR="005E6576">
        <w:rPr>
          <w:rFonts w:ascii="MinionPro-Regular" w:hAnsi="MinionPro-Regular"/>
          <w:color w:val="000000"/>
          <w:szCs w:val="24"/>
        </w:rPr>
        <w:t xml:space="preserve"> </w:t>
      </w:r>
      <w:r w:rsidRPr="00F96DED">
        <w:rPr>
          <w:rFonts w:ascii="MinionPro-Regular" w:hAnsi="MinionPro-Regular"/>
          <w:color w:val="000000"/>
          <w:szCs w:val="24"/>
        </w:rPr>
        <w:t xml:space="preserve">Relying on substance factors provides for a simple and transparent allocation key which facilitates the co-ordination among tax administrations. </w:t>
      </w:r>
      <w:r w:rsidR="005E6576">
        <w:rPr>
          <w:rFonts w:ascii="MinionPro-Regular" w:hAnsi="MinionPro-Regular"/>
          <w:color w:val="000000"/>
          <w:szCs w:val="24"/>
        </w:rPr>
        <w:t xml:space="preserve"> </w:t>
      </w:r>
      <w:r w:rsidRPr="00F96DED">
        <w:rPr>
          <w:rFonts w:ascii="MinionPro-Regular" w:hAnsi="MinionPro-Regular"/>
          <w:color w:val="000000"/>
          <w:szCs w:val="24"/>
        </w:rPr>
        <w:t xml:space="preserve">It is also expected that the jurisdictions where the MNE Group has more substance on a relative basis will be those where there is more tax capacity (such as deductible expenditure) to absorb adjustments under the UTPR. </w:t>
      </w:r>
      <w:r w:rsidR="005E6576">
        <w:rPr>
          <w:rFonts w:ascii="MinionPro-Regular" w:hAnsi="MinionPro-Regular"/>
          <w:color w:val="000000"/>
          <w:szCs w:val="24"/>
        </w:rPr>
        <w:t xml:space="preserve"> </w:t>
      </w:r>
      <w:r w:rsidRPr="00F96DED">
        <w:rPr>
          <w:rFonts w:ascii="MinionPro-Regular" w:hAnsi="MinionPro-Regular"/>
          <w:color w:val="000000"/>
          <w:szCs w:val="24"/>
        </w:rPr>
        <w:t>This approach, together with the exclusion mechanism in Article 2.6.3, is intended to reduce the risk of allocating Top-up Tax to a jurisdiction that does not have enough capacity to impose the UTPR adjustment.</w:t>
      </w:r>
      <w:r w:rsidRPr="00F96DED">
        <w:rPr>
          <w:rFonts w:ascii="MinionPro-Regular" w:hAnsi="MinionPro-Regular"/>
          <w:color w:val="000000"/>
          <w:szCs w:val="24"/>
          <w:vertAlign w:val="superscript"/>
        </w:rPr>
        <w:footnoteReference w:id="212"/>
      </w:r>
    </w:p>
    <w:p w14:paraId="73EFFB41" w14:textId="77777777" w:rsidR="00F96DED" w:rsidRPr="00F96DED" w:rsidRDefault="00F96DED" w:rsidP="00F96DED">
      <w:pPr>
        <w:jc w:val="both"/>
        <w:rPr>
          <w:rFonts w:ascii="MinionPro-Regular" w:hAnsi="MinionPro-Regular"/>
          <w:color w:val="000000"/>
          <w:szCs w:val="24"/>
        </w:rPr>
      </w:pPr>
    </w:p>
    <w:p w14:paraId="5886D00B" w14:textId="1E2216D4"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 xml:space="preserve">UTPR is very loosely apportioned based on a measurement of “substance,” which is different than how substance is measure for the Substance-based Income Exclusion, which substitutes payroll for number of employees.  The </w:t>
      </w:r>
      <w:r w:rsidR="005E6576">
        <w:rPr>
          <w:rFonts w:ascii="MinionPro-Regular" w:hAnsi="MinionPro-Regular"/>
          <w:color w:val="000000"/>
          <w:szCs w:val="24"/>
        </w:rPr>
        <w:t xml:space="preserve">March 2022 </w:t>
      </w:r>
      <w:r w:rsidRPr="00F96DED">
        <w:rPr>
          <w:rFonts w:ascii="MinionPro-Regular" w:hAnsi="MinionPro-Regular"/>
          <w:color w:val="000000"/>
          <w:szCs w:val="24"/>
        </w:rPr>
        <w:t xml:space="preserve">Commentary explains that payroll was considered for UTPR apportionment but rejected by the Inclusive Framework.  There is no explanation why </w:t>
      </w:r>
      <w:r w:rsidR="005E6576">
        <w:rPr>
          <w:rFonts w:ascii="MinionPro-Regular" w:hAnsi="MinionPro-Regular"/>
          <w:color w:val="000000"/>
          <w:szCs w:val="24"/>
        </w:rPr>
        <w:t xml:space="preserve">the Inclusive Framework rejected </w:t>
      </w:r>
      <w:r w:rsidRPr="00F96DED">
        <w:rPr>
          <w:rFonts w:ascii="MinionPro-Regular" w:hAnsi="MinionPro-Regular"/>
          <w:color w:val="000000"/>
          <w:szCs w:val="24"/>
        </w:rPr>
        <w:t>payroll for UTPR apportionment.  Moreover, apportionment based on “substance” has nothing to do with any judgment that it is high-substance jurisdictions that are the m</w:t>
      </w:r>
      <w:r w:rsidR="0040189E">
        <w:rPr>
          <w:rFonts w:ascii="MinionPro-Regular" w:hAnsi="MinionPro-Regular"/>
          <w:color w:val="000000"/>
          <w:szCs w:val="24"/>
        </w:rPr>
        <w:t>o</w:t>
      </w:r>
      <w:r w:rsidRPr="00F96DED">
        <w:rPr>
          <w:rFonts w:ascii="MinionPro-Regular" w:hAnsi="MinionPro-Regular"/>
          <w:color w:val="000000"/>
          <w:szCs w:val="24"/>
        </w:rPr>
        <w:t>st harmed by low-tax jurisdictions or the most entitled to tax.  Rather, high</w:t>
      </w:r>
      <w:r w:rsidR="0040189E">
        <w:rPr>
          <w:rFonts w:ascii="MinionPro-Regular" w:hAnsi="MinionPro-Regular"/>
          <w:color w:val="000000"/>
          <w:szCs w:val="24"/>
        </w:rPr>
        <w:t>-</w:t>
      </w:r>
      <w:r w:rsidRPr="00F96DED">
        <w:rPr>
          <w:rFonts w:ascii="MinionPro-Regular" w:hAnsi="MinionPro-Regular"/>
          <w:color w:val="000000"/>
          <w:szCs w:val="24"/>
        </w:rPr>
        <w:t>substance jurisdictions will be the jurisdictions with the most capacity to absorb Top-Up Tax adjustment</w:t>
      </w:r>
      <w:r w:rsidR="0040189E">
        <w:rPr>
          <w:rFonts w:ascii="MinionPro-Regular" w:hAnsi="MinionPro-Regular"/>
          <w:color w:val="000000"/>
          <w:szCs w:val="24"/>
        </w:rPr>
        <w:t>s</w:t>
      </w:r>
      <w:r w:rsidR="00360796">
        <w:rPr>
          <w:rFonts w:ascii="MinionPro-Regular" w:hAnsi="MinionPro-Regular"/>
          <w:color w:val="000000"/>
          <w:szCs w:val="24"/>
        </w:rPr>
        <w:t xml:space="preserve"> via denial of deductions</w:t>
      </w:r>
      <w:r w:rsidRPr="00F96DED">
        <w:rPr>
          <w:rFonts w:ascii="MinionPro-Regular" w:hAnsi="MinionPro-Regular"/>
          <w:color w:val="000000"/>
          <w:szCs w:val="24"/>
        </w:rPr>
        <w:t xml:space="preserve">.  Thus, the purpose behind the apportionment is generally moot, as </w:t>
      </w:r>
      <w:r w:rsidRPr="00F96DED">
        <w:rPr>
          <w:rFonts w:ascii="MinionPro-Regular" w:hAnsi="MinionPro-Regular"/>
          <w:color w:val="000000"/>
          <w:szCs w:val="24"/>
        </w:rPr>
        <w:lastRenderedPageBreak/>
        <w:t xml:space="preserve">jurisdictions imposing UTPR are not going to apply a deduction denial mechanism but instead will apply an up-front tax.  </w:t>
      </w:r>
    </w:p>
    <w:p w14:paraId="46E81155" w14:textId="77777777" w:rsidR="00F96DED" w:rsidRPr="00F96DED" w:rsidRDefault="00F96DED" w:rsidP="00F96DED">
      <w:pPr>
        <w:jc w:val="both"/>
        <w:rPr>
          <w:rFonts w:ascii="MinionPro-Regular" w:hAnsi="MinionPro-Regular"/>
          <w:color w:val="000000"/>
          <w:szCs w:val="24"/>
        </w:rPr>
      </w:pPr>
    </w:p>
    <w:p w14:paraId="4FEDD3D4" w14:textId="35DC5D39"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 xml:space="preserve">The </w:t>
      </w:r>
      <w:r w:rsidR="0040189E">
        <w:rPr>
          <w:rFonts w:ascii="MinionPro-Regular" w:hAnsi="MinionPro-Regular"/>
          <w:color w:val="000000"/>
          <w:szCs w:val="24"/>
        </w:rPr>
        <w:t>March 2022 C</w:t>
      </w:r>
      <w:r w:rsidRPr="00F96DED">
        <w:rPr>
          <w:rFonts w:ascii="MinionPro-Regular" w:hAnsi="MinionPro-Regular"/>
          <w:color w:val="000000"/>
          <w:szCs w:val="24"/>
        </w:rPr>
        <w:t xml:space="preserve">ommentary also mentions the exclusion mechanism in Article 2.6.3, which makes it completely clear that UTPR apportionment has nothing to do with justified entitlements.  Under Article 2.6.3, a UTPR jurisdiction is essentially kicked out of UTPR for as long as it is unable to charge 100% of its Top-Up </w:t>
      </w:r>
      <w:r w:rsidR="0040189E">
        <w:rPr>
          <w:rFonts w:ascii="MinionPro-Regular" w:hAnsi="MinionPro-Regular"/>
          <w:color w:val="000000"/>
          <w:szCs w:val="24"/>
        </w:rPr>
        <w:t>T</w:t>
      </w:r>
      <w:r w:rsidRPr="00F96DED">
        <w:rPr>
          <w:rFonts w:ascii="MinionPro-Regular" w:hAnsi="MinionPro-Regular"/>
          <w:color w:val="000000"/>
          <w:szCs w:val="24"/>
        </w:rPr>
        <w:t>ax.  So, for example, if one jurisdiction were to use a deduction denial mechanism and</w:t>
      </w:r>
      <w:r w:rsidR="0040189E">
        <w:rPr>
          <w:rFonts w:ascii="MinionPro-Regular" w:hAnsi="MinionPro-Regular"/>
          <w:color w:val="000000"/>
          <w:szCs w:val="24"/>
        </w:rPr>
        <w:t>,</w:t>
      </w:r>
      <w:r w:rsidRPr="00F96DED">
        <w:rPr>
          <w:rFonts w:ascii="MinionPro-Regular" w:hAnsi="MinionPro-Regular"/>
          <w:color w:val="000000"/>
          <w:szCs w:val="24"/>
        </w:rPr>
        <w:t xml:space="preserve"> in one year, there were insufficient deductions in the jurisdiction for it to deny </w:t>
      </w:r>
      <w:r w:rsidR="0040189E">
        <w:rPr>
          <w:rFonts w:ascii="MinionPro-Regular" w:hAnsi="MinionPro-Regular"/>
          <w:color w:val="000000"/>
          <w:szCs w:val="24"/>
        </w:rPr>
        <w:t xml:space="preserve">enough </w:t>
      </w:r>
      <w:r w:rsidRPr="00F96DED">
        <w:rPr>
          <w:rFonts w:ascii="MinionPro-Regular" w:hAnsi="MinionPro-Regular"/>
          <w:color w:val="000000"/>
          <w:szCs w:val="24"/>
        </w:rPr>
        <w:t xml:space="preserve">to account for its apportioned Top-Up Tax, in the following year the jurisdiction is apportioned no Top-Up Tax.  This goes on until the jurisdiction has accounted for all of its apportioned Top-Up Tax.  In the meantime, the other UTPR jurisdictions collect what would have been </w:t>
      </w:r>
      <w:r w:rsidR="00623F76">
        <w:rPr>
          <w:rFonts w:ascii="MinionPro-Regular" w:hAnsi="MinionPro-Regular"/>
          <w:color w:val="000000"/>
          <w:szCs w:val="24"/>
        </w:rPr>
        <w:t xml:space="preserve">the </w:t>
      </w:r>
      <w:r w:rsidR="0040189E">
        <w:rPr>
          <w:rFonts w:ascii="MinionPro-Regular" w:hAnsi="MinionPro-Regular"/>
          <w:color w:val="000000"/>
          <w:szCs w:val="24"/>
        </w:rPr>
        <w:t>disallowed jurisdiction’s</w:t>
      </w:r>
      <w:r w:rsidR="0040189E" w:rsidRPr="00F96DED">
        <w:rPr>
          <w:rFonts w:ascii="MinionPro-Regular" w:hAnsi="MinionPro-Regular"/>
          <w:color w:val="000000"/>
          <w:szCs w:val="24"/>
        </w:rPr>
        <w:t xml:space="preserve"> </w:t>
      </w:r>
      <w:r w:rsidRPr="00F96DED">
        <w:rPr>
          <w:rFonts w:ascii="MinionPro-Regular" w:hAnsi="MinionPro-Regular"/>
          <w:color w:val="000000"/>
          <w:szCs w:val="24"/>
        </w:rPr>
        <w:t xml:space="preserve">share.  It is thus no wonder that once jurisdictions were told that an up-front tax was permitted, the only option selected was an up-front tax.  Otherwise, a jurisdiction would risk missing out in the annual </w:t>
      </w:r>
      <w:r w:rsidR="0040189E">
        <w:rPr>
          <w:rFonts w:ascii="MinionPro-Regular" w:hAnsi="MinionPro-Regular"/>
          <w:color w:val="000000"/>
          <w:szCs w:val="24"/>
        </w:rPr>
        <w:t>UTPR</w:t>
      </w:r>
      <w:r w:rsidR="0040189E" w:rsidRPr="00F96DED">
        <w:rPr>
          <w:rFonts w:ascii="MinionPro-Regular" w:hAnsi="MinionPro-Regular"/>
          <w:color w:val="000000"/>
          <w:szCs w:val="24"/>
        </w:rPr>
        <w:t xml:space="preserve"> </w:t>
      </w:r>
      <w:r w:rsidRPr="00F96DED">
        <w:rPr>
          <w:rFonts w:ascii="MinionPro-Regular" w:hAnsi="MinionPro-Regular"/>
          <w:color w:val="000000"/>
          <w:szCs w:val="24"/>
        </w:rPr>
        <w:t>apportionment.  Th</w:t>
      </w:r>
      <w:r w:rsidR="0040189E">
        <w:rPr>
          <w:rFonts w:ascii="MinionPro-Regular" w:hAnsi="MinionPro-Regular"/>
          <w:color w:val="000000"/>
          <w:szCs w:val="24"/>
        </w:rPr>
        <w:t>e ability to exclude a UTPR jurisdiction if it cannot apply UTPR</w:t>
      </w:r>
      <w:r w:rsidRPr="00F96DED">
        <w:rPr>
          <w:rFonts w:ascii="MinionPro-Regular" w:hAnsi="MinionPro-Regular"/>
          <w:color w:val="000000"/>
          <w:szCs w:val="24"/>
        </w:rPr>
        <w:t xml:space="preserve"> makes it absolutely clear that the UTPR apportionment has nothing to do with any jurisdiction having any justified entitlement to collect UTPR.  </w:t>
      </w:r>
    </w:p>
    <w:p w14:paraId="71E43FB5" w14:textId="77777777" w:rsidR="00F96DED" w:rsidRPr="00F96DED" w:rsidRDefault="00F96DED" w:rsidP="00F96DED">
      <w:pPr>
        <w:jc w:val="both"/>
        <w:rPr>
          <w:rFonts w:ascii="MinionPro-Regular" w:hAnsi="MinionPro-Regular"/>
          <w:color w:val="000000"/>
          <w:szCs w:val="24"/>
        </w:rPr>
      </w:pPr>
    </w:p>
    <w:p w14:paraId="5C6CFED5" w14:textId="471CEF3A"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 xml:space="preserve">There is also </w:t>
      </w:r>
      <w:r w:rsidR="0040189E">
        <w:rPr>
          <w:rFonts w:ascii="MinionPro-Regular" w:hAnsi="MinionPro-Regular"/>
          <w:color w:val="000000"/>
          <w:szCs w:val="24"/>
        </w:rPr>
        <w:t xml:space="preserve">a </w:t>
      </w:r>
      <w:r w:rsidRPr="00F96DED">
        <w:rPr>
          <w:rFonts w:ascii="MinionPro-Regular" w:hAnsi="MinionPro-Regular"/>
          <w:color w:val="000000"/>
          <w:szCs w:val="24"/>
        </w:rPr>
        <w:t>coercive element of UTPR</w:t>
      </w:r>
      <w:r w:rsidR="006F0D1B">
        <w:rPr>
          <w:rFonts w:ascii="MinionPro-Regular" w:hAnsi="MinionPro-Regular"/>
          <w:color w:val="000000"/>
          <w:szCs w:val="24"/>
        </w:rPr>
        <w:t>.  T</w:t>
      </w:r>
      <w:r w:rsidRPr="00F96DED">
        <w:rPr>
          <w:rFonts w:ascii="MinionPro-Regular" w:hAnsi="MinionPro-Regular"/>
          <w:color w:val="000000"/>
          <w:szCs w:val="24"/>
        </w:rPr>
        <w:t xml:space="preserve">he Inclusive Framework calls what is happening consensus, but </w:t>
      </w:r>
      <w:r w:rsidR="001C3F28">
        <w:rPr>
          <w:rFonts w:ascii="MinionPro-Regular" w:hAnsi="MinionPro-Regular"/>
          <w:color w:val="000000"/>
          <w:szCs w:val="24"/>
        </w:rPr>
        <w:t xml:space="preserve">it </w:t>
      </w:r>
      <w:r w:rsidRPr="00F96DED">
        <w:rPr>
          <w:rFonts w:ascii="MinionPro-Regular" w:hAnsi="MinionPro-Regular"/>
          <w:color w:val="000000"/>
          <w:szCs w:val="24"/>
        </w:rPr>
        <w:t>really means coercion.  Very few countries outside of the E</w:t>
      </w:r>
      <w:r w:rsidR="006F0D1B">
        <w:rPr>
          <w:rFonts w:ascii="MinionPro-Regular" w:hAnsi="MinionPro-Regular"/>
          <w:color w:val="000000"/>
          <w:szCs w:val="24"/>
        </w:rPr>
        <w:t xml:space="preserve">uropean </w:t>
      </w:r>
      <w:r w:rsidRPr="00F96DED">
        <w:rPr>
          <w:rFonts w:ascii="MinionPro-Regular" w:hAnsi="MinionPro-Regular"/>
          <w:color w:val="000000"/>
          <w:szCs w:val="24"/>
        </w:rPr>
        <w:t>U</w:t>
      </w:r>
      <w:r w:rsidR="006F0D1B">
        <w:rPr>
          <w:rFonts w:ascii="MinionPro-Regular" w:hAnsi="MinionPro-Regular"/>
          <w:color w:val="000000"/>
          <w:szCs w:val="24"/>
        </w:rPr>
        <w:t>nion</w:t>
      </w:r>
      <w:r w:rsidRPr="00F96DED">
        <w:rPr>
          <w:rFonts w:ascii="MinionPro-Regular" w:hAnsi="MinionPro-Regular"/>
          <w:color w:val="000000"/>
          <w:szCs w:val="24"/>
        </w:rPr>
        <w:t xml:space="preserve"> showed any initial enthusiasm to actually implement Pillar II as a general matter and</w:t>
      </w:r>
      <w:r w:rsidR="006F0D1B">
        <w:rPr>
          <w:rFonts w:ascii="MinionPro-Regular" w:hAnsi="MinionPro-Regular"/>
          <w:color w:val="000000"/>
          <w:szCs w:val="24"/>
        </w:rPr>
        <w:t>,</w:t>
      </w:r>
      <w:r w:rsidRPr="00F96DED">
        <w:rPr>
          <w:rFonts w:ascii="MinionPro-Regular" w:hAnsi="MinionPro-Regular"/>
          <w:color w:val="000000"/>
          <w:szCs w:val="24"/>
        </w:rPr>
        <w:t xml:space="preserve"> even now, fewer than a third of the Inclusive Framework countries have proposed or enacted Pillar II legislation (IIR, UT</w:t>
      </w:r>
      <w:r w:rsidR="006F0D1B">
        <w:rPr>
          <w:rFonts w:ascii="MinionPro-Regular" w:hAnsi="MinionPro-Regular"/>
          <w:color w:val="000000"/>
          <w:szCs w:val="24"/>
        </w:rPr>
        <w:t>P</w:t>
      </w:r>
      <w:r w:rsidRPr="00F96DED">
        <w:rPr>
          <w:rFonts w:ascii="MinionPro-Regular" w:hAnsi="MinionPro-Regular"/>
          <w:color w:val="000000"/>
          <w:szCs w:val="24"/>
        </w:rPr>
        <w:t>R</w:t>
      </w:r>
      <w:r w:rsidR="006F0D1B">
        <w:rPr>
          <w:rFonts w:ascii="MinionPro-Regular" w:hAnsi="MinionPro-Regular"/>
          <w:color w:val="000000"/>
          <w:szCs w:val="24"/>
        </w:rPr>
        <w:t>,</w:t>
      </w:r>
      <w:r w:rsidRPr="00F96DED">
        <w:rPr>
          <w:rFonts w:ascii="MinionPro-Regular" w:hAnsi="MinionPro-Regular"/>
          <w:color w:val="000000"/>
          <w:szCs w:val="24"/>
        </w:rPr>
        <w:t xml:space="preserve"> or </w:t>
      </w:r>
      <w:r w:rsidR="006F0D1B">
        <w:rPr>
          <w:rFonts w:ascii="MinionPro-Regular" w:hAnsi="MinionPro-Regular"/>
          <w:color w:val="000000"/>
          <w:szCs w:val="24"/>
        </w:rPr>
        <w:t xml:space="preserve">a </w:t>
      </w:r>
      <w:r w:rsidRPr="00F96DED">
        <w:rPr>
          <w:rFonts w:ascii="MinionPro-Regular" w:hAnsi="MinionPro-Regular"/>
          <w:color w:val="000000"/>
          <w:szCs w:val="24"/>
        </w:rPr>
        <w:t>QDMTT)</w:t>
      </w:r>
      <w:r w:rsidR="006F0D1B">
        <w:rPr>
          <w:rFonts w:ascii="MinionPro-Regular" w:hAnsi="MinionPro-Regular"/>
          <w:color w:val="000000"/>
          <w:szCs w:val="24"/>
        </w:rPr>
        <w:t>.  F</w:t>
      </w:r>
      <w:r w:rsidRPr="00F96DED">
        <w:rPr>
          <w:rFonts w:ascii="MinionPro-Regular" w:hAnsi="MinionPro-Regular"/>
          <w:color w:val="000000"/>
          <w:szCs w:val="24"/>
        </w:rPr>
        <w:t>ewer than half of the Inclusive Framework countries have acknowledged that they will follow through with any Pillar II legislation.  It stands to reason that a number of the countries that have agreed to enact Pillar II legislation have do</w:t>
      </w:r>
      <w:r w:rsidR="006F0D1B">
        <w:rPr>
          <w:rFonts w:ascii="MinionPro-Regular" w:hAnsi="MinionPro-Regular"/>
          <w:color w:val="000000"/>
          <w:szCs w:val="24"/>
        </w:rPr>
        <w:t>ne</w:t>
      </w:r>
      <w:r w:rsidRPr="00F96DED">
        <w:rPr>
          <w:rFonts w:ascii="MinionPro-Regular" w:hAnsi="MinionPro-Regular"/>
          <w:color w:val="000000"/>
          <w:szCs w:val="24"/>
        </w:rPr>
        <w:t xml:space="preserve"> so as the result of the intentionally coercive UTPR regime.  Furthermore, what do countries have to look forward to after embracing their duty to submit to Pillar II? </w:t>
      </w:r>
      <w:r w:rsidR="00393005">
        <w:rPr>
          <w:rFonts w:ascii="MinionPro-Regular" w:hAnsi="MinionPro-Regular"/>
          <w:color w:val="000000"/>
          <w:szCs w:val="24"/>
        </w:rPr>
        <w:t xml:space="preserve"> </w:t>
      </w:r>
      <w:r w:rsidRPr="00F96DED">
        <w:rPr>
          <w:rFonts w:ascii="MinionPro-Regular" w:hAnsi="MinionPro-Regular"/>
          <w:color w:val="000000"/>
          <w:szCs w:val="24"/>
        </w:rPr>
        <w:t>Ongoing international monitoring of their administration of their Pillar II</w:t>
      </w:r>
      <w:r w:rsidR="006F0D1B">
        <w:rPr>
          <w:rFonts w:ascii="MinionPro-Regular" w:hAnsi="MinionPro-Regular"/>
          <w:color w:val="000000"/>
          <w:szCs w:val="24"/>
        </w:rPr>
        <w:t xml:space="preserve"> regime</w:t>
      </w:r>
      <w:r w:rsidRPr="00F96DED">
        <w:rPr>
          <w:rFonts w:ascii="MinionPro-Regular" w:hAnsi="MinionPro-Regular"/>
          <w:color w:val="000000"/>
          <w:szCs w:val="24"/>
        </w:rPr>
        <w:t xml:space="preserve"> and ongoing peer review of compliance. </w:t>
      </w:r>
    </w:p>
    <w:p w14:paraId="5C7929CA" w14:textId="77777777" w:rsidR="00F96DED" w:rsidRPr="00F96DED" w:rsidRDefault="00F96DED" w:rsidP="00F96DED">
      <w:pPr>
        <w:jc w:val="both"/>
        <w:rPr>
          <w:rFonts w:ascii="MinionPro-Regular" w:hAnsi="MinionPro-Regular"/>
          <w:color w:val="000000"/>
          <w:szCs w:val="24"/>
        </w:rPr>
      </w:pPr>
    </w:p>
    <w:p w14:paraId="2F450041" w14:textId="1D1C54CC"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Of course</w:t>
      </w:r>
      <w:r w:rsidR="006F0D1B">
        <w:rPr>
          <w:rFonts w:ascii="MinionPro-Regular" w:hAnsi="MinionPro-Regular"/>
          <w:color w:val="000000"/>
          <w:szCs w:val="24"/>
        </w:rPr>
        <w:t>,</w:t>
      </w:r>
      <w:r w:rsidRPr="00F96DED">
        <w:rPr>
          <w:rFonts w:ascii="MinionPro-Regular" w:hAnsi="MinionPro-Regular"/>
          <w:color w:val="000000"/>
          <w:szCs w:val="24"/>
        </w:rPr>
        <w:t xml:space="preserve"> there is also the question, does it stop with UTPR</w:t>
      </w:r>
      <w:r w:rsidR="006F0D1B">
        <w:rPr>
          <w:rFonts w:ascii="MinionPro-Regular" w:hAnsi="MinionPro-Regular"/>
          <w:color w:val="000000"/>
          <w:szCs w:val="24"/>
        </w:rPr>
        <w:t>,</w:t>
      </w:r>
      <w:r w:rsidRPr="00F96DED">
        <w:rPr>
          <w:rFonts w:ascii="MinionPro-Regular" w:hAnsi="MinionPro-Regular"/>
          <w:color w:val="000000"/>
          <w:szCs w:val="24"/>
        </w:rPr>
        <w:t xml:space="preserve"> or does UTPR open the door for jurisdictions to assert more expansive taxing rights</w:t>
      </w:r>
      <w:r w:rsidR="006F0D1B">
        <w:rPr>
          <w:rFonts w:ascii="MinionPro-Regular" w:hAnsi="MinionPro-Regular"/>
          <w:color w:val="000000"/>
          <w:szCs w:val="24"/>
        </w:rPr>
        <w:t>?</w:t>
      </w:r>
      <w:r w:rsidRPr="00F96DED">
        <w:rPr>
          <w:rFonts w:ascii="MinionPro-Regular" w:hAnsi="MinionPro-Regular"/>
          <w:color w:val="000000"/>
          <w:szCs w:val="24"/>
        </w:rPr>
        <w:t xml:space="preserve">  What happens if every jurisdiction with which an MNE Group has sufficient minimum contact has the unilateral right to decide what the entire MNE Group’s effective tax rate</w:t>
      </w:r>
      <w:r w:rsidR="00572E81">
        <w:rPr>
          <w:rFonts w:ascii="MinionPro-Regular" w:hAnsi="MinionPro-Regular"/>
          <w:color w:val="000000"/>
          <w:szCs w:val="24"/>
        </w:rPr>
        <w:t xml:space="preserve"> should be</w:t>
      </w:r>
      <w:r w:rsidRPr="00F96DED">
        <w:rPr>
          <w:rFonts w:ascii="MinionPro-Regular" w:hAnsi="MinionPro-Regular"/>
          <w:color w:val="000000"/>
          <w:szCs w:val="24"/>
        </w:rPr>
        <w:t>?</w:t>
      </w:r>
      <w:r w:rsidR="00393005">
        <w:rPr>
          <w:rFonts w:ascii="MinionPro-Regular" w:hAnsi="MinionPro-Regular"/>
          <w:color w:val="000000"/>
          <w:szCs w:val="24"/>
        </w:rPr>
        <w:t xml:space="preserve"> </w:t>
      </w:r>
      <w:r w:rsidRPr="00F96DED">
        <w:rPr>
          <w:rFonts w:ascii="MinionPro-Regular" w:hAnsi="MinionPro-Regular"/>
          <w:color w:val="000000"/>
          <w:szCs w:val="24"/>
        </w:rPr>
        <w:t xml:space="preserve"> Should each new stakeholder in an MNE Group get to decide how much can be squeezed out of it before it collapses or lays off work force, or reduces investment in tangible assets or R&amp;D</w:t>
      </w:r>
      <w:r w:rsidR="006F0D1B">
        <w:rPr>
          <w:rFonts w:ascii="MinionPro-Regular" w:hAnsi="MinionPro-Regular"/>
          <w:color w:val="000000"/>
          <w:szCs w:val="24"/>
        </w:rPr>
        <w:t>?</w:t>
      </w:r>
      <w:r w:rsidRPr="00F96DED">
        <w:rPr>
          <w:rFonts w:ascii="MinionPro-Regular" w:hAnsi="MinionPro-Regular"/>
          <w:color w:val="000000"/>
          <w:szCs w:val="24"/>
        </w:rPr>
        <w:t xml:space="preserve">  A minimum tax of 15% may seem reasonable now, but maybe a country or a coalition of countries will decide MNE Groups still are not paying their “fair share.” </w:t>
      </w:r>
      <w:r w:rsidR="006F0D1B">
        <w:rPr>
          <w:rFonts w:ascii="MinionPro-Regular" w:hAnsi="MinionPro-Regular"/>
          <w:color w:val="000000"/>
          <w:szCs w:val="24"/>
        </w:rPr>
        <w:t xml:space="preserve"> </w:t>
      </w:r>
      <w:r w:rsidRPr="00F96DED">
        <w:rPr>
          <w:rFonts w:ascii="MinionPro-Regular" w:hAnsi="MinionPro-Regular"/>
          <w:color w:val="000000"/>
          <w:szCs w:val="24"/>
        </w:rPr>
        <w:t xml:space="preserve">In that respect, it may be worth considering a UTPR that </w:t>
      </w:r>
      <w:r w:rsidR="00052835">
        <w:rPr>
          <w:rFonts w:ascii="MinionPro-Regular" w:hAnsi="MinionPro-Regular"/>
          <w:color w:val="000000"/>
          <w:szCs w:val="24"/>
        </w:rPr>
        <w:t>may in some cases</w:t>
      </w:r>
      <w:r w:rsidRPr="00F96DED">
        <w:rPr>
          <w:rFonts w:ascii="MinionPro-Regular" w:hAnsi="MinionPro-Regular"/>
          <w:color w:val="000000"/>
          <w:szCs w:val="24"/>
        </w:rPr>
        <w:t xml:space="preserve"> not </w:t>
      </w:r>
      <w:r w:rsidR="00572E81">
        <w:rPr>
          <w:rFonts w:ascii="MinionPro-Regular" w:hAnsi="MinionPro-Regular"/>
          <w:color w:val="000000"/>
          <w:szCs w:val="24"/>
        </w:rPr>
        <w:t>levy</w:t>
      </w:r>
      <w:r w:rsidR="00572E81" w:rsidRPr="00F96DED">
        <w:rPr>
          <w:rFonts w:ascii="MinionPro-Regular" w:hAnsi="MinionPro-Regular"/>
          <w:color w:val="000000"/>
          <w:szCs w:val="24"/>
        </w:rPr>
        <w:t xml:space="preserve"> </w:t>
      </w:r>
      <w:r w:rsidRPr="00F96DED">
        <w:rPr>
          <w:rFonts w:ascii="MinionPro-Regular" w:hAnsi="MinionPro-Regular"/>
          <w:color w:val="000000"/>
          <w:szCs w:val="24"/>
        </w:rPr>
        <w:t xml:space="preserve">all the </w:t>
      </w:r>
      <w:r w:rsidR="006F0D1B">
        <w:rPr>
          <w:rFonts w:ascii="MinionPro-Regular" w:hAnsi="MinionPro-Regular"/>
          <w:color w:val="000000"/>
          <w:szCs w:val="24"/>
        </w:rPr>
        <w:t>Top-Up T</w:t>
      </w:r>
      <w:r w:rsidRPr="00F96DED">
        <w:rPr>
          <w:rFonts w:ascii="MinionPro-Regular" w:hAnsi="MinionPro-Regular"/>
          <w:color w:val="000000"/>
          <w:szCs w:val="24"/>
        </w:rPr>
        <w:t>ax</w:t>
      </w:r>
      <w:r w:rsidR="00052835">
        <w:rPr>
          <w:rFonts w:ascii="MinionPro-Regular" w:hAnsi="MinionPro-Regular"/>
          <w:color w:val="000000"/>
          <w:szCs w:val="24"/>
        </w:rPr>
        <w:t>,</w:t>
      </w:r>
      <w:r w:rsidRPr="00F96DED">
        <w:rPr>
          <w:rFonts w:ascii="MinionPro-Regular" w:hAnsi="MinionPro-Regular"/>
          <w:color w:val="000000"/>
          <w:szCs w:val="24"/>
        </w:rPr>
        <w:t xml:space="preserve"> </w:t>
      </w:r>
      <w:r w:rsidR="00052835">
        <w:rPr>
          <w:rFonts w:ascii="MinionPro-Regular" w:hAnsi="MinionPro-Regular"/>
          <w:color w:val="000000"/>
          <w:szCs w:val="24"/>
        </w:rPr>
        <w:t>but</w:t>
      </w:r>
      <w:r w:rsidRPr="00F96DED">
        <w:rPr>
          <w:rFonts w:ascii="MinionPro-Regular" w:hAnsi="MinionPro-Regular"/>
          <w:color w:val="000000"/>
          <w:szCs w:val="24"/>
        </w:rPr>
        <w:t xml:space="preserve"> apportions taxing rights between jurisdictions in a manner that does not result in a race</w:t>
      </w:r>
      <w:r w:rsidR="006F0D1B">
        <w:rPr>
          <w:rFonts w:ascii="MinionPro-Regular" w:hAnsi="MinionPro-Regular"/>
          <w:color w:val="000000"/>
          <w:szCs w:val="24"/>
        </w:rPr>
        <w:t>-</w:t>
      </w:r>
      <w:r w:rsidRPr="00F96DED">
        <w:rPr>
          <w:rFonts w:ascii="MinionPro-Regular" w:hAnsi="MinionPro-Regular"/>
          <w:color w:val="000000"/>
          <w:szCs w:val="24"/>
        </w:rPr>
        <w:t>to</w:t>
      </w:r>
      <w:r w:rsidR="006F0D1B">
        <w:rPr>
          <w:rFonts w:ascii="MinionPro-Regular" w:hAnsi="MinionPro-Regular"/>
          <w:color w:val="000000"/>
          <w:szCs w:val="24"/>
        </w:rPr>
        <w:t>-</w:t>
      </w:r>
      <w:r w:rsidRPr="00F96DED">
        <w:rPr>
          <w:rFonts w:ascii="MinionPro-Regular" w:hAnsi="MinionPro-Regular"/>
          <w:color w:val="000000"/>
          <w:szCs w:val="24"/>
        </w:rPr>
        <w:t>the</w:t>
      </w:r>
      <w:r w:rsidR="006F0D1B">
        <w:rPr>
          <w:rFonts w:ascii="MinionPro-Regular" w:hAnsi="MinionPro-Regular"/>
          <w:color w:val="000000"/>
          <w:szCs w:val="24"/>
        </w:rPr>
        <w:t>-</w:t>
      </w:r>
      <w:r w:rsidRPr="00F96DED">
        <w:rPr>
          <w:rFonts w:ascii="MinionPro-Regular" w:hAnsi="MinionPro-Regular"/>
          <w:color w:val="000000"/>
          <w:szCs w:val="24"/>
        </w:rPr>
        <w:t xml:space="preserve">bottom issue, </w:t>
      </w:r>
      <w:r w:rsidR="00552D76">
        <w:rPr>
          <w:rFonts w:ascii="MinionPro-Regular" w:hAnsi="MinionPro-Regular"/>
          <w:color w:val="000000"/>
          <w:szCs w:val="24"/>
        </w:rPr>
        <w:t>while</w:t>
      </w:r>
      <w:r w:rsidR="00552D76" w:rsidRPr="00F96DED">
        <w:rPr>
          <w:rFonts w:ascii="MinionPro-Regular" w:hAnsi="MinionPro-Regular"/>
          <w:color w:val="000000"/>
          <w:szCs w:val="24"/>
        </w:rPr>
        <w:t xml:space="preserve"> </w:t>
      </w:r>
      <w:r w:rsidRPr="00F96DED">
        <w:rPr>
          <w:rFonts w:ascii="MinionPro-Regular" w:hAnsi="MinionPro-Regular"/>
          <w:color w:val="000000"/>
          <w:szCs w:val="24"/>
        </w:rPr>
        <w:t>still connect</w:t>
      </w:r>
      <w:r w:rsidR="00552D76">
        <w:rPr>
          <w:rFonts w:ascii="MinionPro-Regular" w:hAnsi="MinionPro-Regular"/>
          <w:color w:val="000000"/>
          <w:szCs w:val="24"/>
        </w:rPr>
        <w:t>ing</w:t>
      </w:r>
      <w:r w:rsidRPr="00F96DED">
        <w:rPr>
          <w:rFonts w:ascii="MinionPro-Regular" w:hAnsi="MinionPro-Regular"/>
          <w:color w:val="000000"/>
          <w:szCs w:val="24"/>
        </w:rPr>
        <w:t xml:space="preserve"> jurisdictions to their respective taxing rights based on principles of source and residence.  Such an apportionment could work as follows</w:t>
      </w:r>
      <w:r w:rsidR="006F0D1B">
        <w:rPr>
          <w:rFonts w:ascii="MinionPro-Regular" w:hAnsi="MinionPro-Regular"/>
          <w:color w:val="000000"/>
          <w:szCs w:val="24"/>
        </w:rPr>
        <w:t>:</w:t>
      </w:r>
    </w:p>
    <w:p w14:paraId="0527773D" w14:textId="77777777" w:rsidR="00F96DED" w:rsidRPr="00F96DED" w:rsidRDefault="00F96DED" w:rsidP="00F96DED">
      <w:pPr>
        <w:jc w:val="both"/>
        <w:rPr>
          <w:rFonts w:ascii="MinionPro-Regular" w:hAnsi="MinionPro-Regular"/>
          <w:color w:val="000000"/>
          <w:szCs w:val="24"/>
        </w:rPr>
      </w:pPr>
    </w:p>
    <w:p w14:paraId="5616066C" w14:textId="60851DF6" w:rsidR="00F96DED" w:rsidRPr="00F96DED" w:rsidRDefault="00F96DED" w:rsidP="00F96DED">
      <w:pPr>
        <w:numPr>
          <w:ilvl w:val="0"/>
          <w:numId w:val="20"/>
        </w:numPr>
        <w:contextualSpacing/>
        <w:jc w:val="both"/>
        <w:rPr>
          <w:rFonts w:ascii="MinionPro-Regular" w:hAnsi="MinionPro-Regular"/>
          <w:color w:val="000000"/>
          <w:szCs w:val="24"/>
        </w:rPr>
      </w:pPr>
      <w:r w:rsidRPr="00F96DED">
        <w:rPr>
          <w:rFonts w:ascii="MinionPro-Regular" w:hAnsi="MinionPro-Regular"/>
          <w:color w:val="000000"/>
          <w:szCs w:val="24"/>
        </w:rPr>
        <w:t xml:space="preserve">The MNE Group </w:t>
      </w:r>
      <w:r w:rsidR="00052835">
        <w:rPr>
          <w:rFonts w:ascii="MinionPro-Regular" w:hAnsi="MinionPro-Regular"/>
          <w:color w:val="000000"/>
          <w:szCs w:val="24"/>
        </w:rPr>
        <w:t xml:space="preserve">would </w:t>
      </w:r>
      <w:r w:rsidRPr="00F96DED">
        <w:rPr>
          <w:rFonts w:ascii="MinionPro-Regular" w:hAnsi="MinionPro-Regular"/>
          <w:color w:val="000000"/>
          <w:szCs w:val="24"/>
        </w:rPr>
        <w:t>aggregate the GloBE</w:t>
      </w:r>
      <w:r w:rsidR="006F0D1B">
        <w:rPr>
          <w:rFonts w:ascii="MinionPro-Regular" w:hAnsi="MinionPro-Regular"/>
          <w:color w:val="000000"/>
          <w:szCs w:val="24"/>
        </w:rPr>
        <w:t xml:space="preserve"> i</w:t>
      </w:r>
      <w:r w:rsidRPr="00F96DED">
        <w:rPr>
          <w:rFonts w:ascii="MinionPro-Regular" w:hAnsi="MinionPro-Regular"/>
          <w:color w:val="000000"/>
          <w:szCs w:val="24"/>
        </w:rPr>
        <w:t xml:space="preserve">ncome of all </w:t>
      </w:r>
      <w:r w:rsidR="00052835">
        <w:rPr>
          <w:rFonts w:ascii="MinionPro-Regular" w:hAnsi="MinionPro-Regular"/>
          <w:color w:val="000000"/>
          <w:szCs w:val="24"/>
        </w:rPr>
        <w:t xml:space="preserve">of its </w:t>
      </w:r>
      <w:r w:rsidR="006F0D1B">
        <w:rPr>
          <w:rFonts w:ascii="MinionPro-Regular" w:hAnsi="MinionPro-Regular"/>
          <w:color w:val="000000"/>
          <w:szCs w:val="24"/>
        </w:rPr>
        <w:t>c</w:t>
      </w:r>
      <w:r w:rsidRPr="00F96DED">
        <w:rPr>
          <w:rFonts w:ascii="MinionPro-Regular" w:hAnsi="MinionPro-Regular"/>
          <w:color w:val="000000"/>
          <w:szCs w:val="24"/>
        </w:rPr>
        <w:t xml:space="preserve">onstituent </w:t>
      </w:r>
      <w:r w:rsidR="006F0D1B">
        <w:rPr>
          <w:rFonts w:ascii="MinionPro-Regular" w:hAnsi="MinionPro-Regular"/>
          <w:color w:val="000000"/>
          <w:szCs w:val="24"/>
        </w:rPr>
        <w:t>e</w:t>
      </w:r>
      <w:r w:rsidRPr="00F96DED">
        <w:rPr>
          <w:rFonts w:ascii="MinionPro-Regular" w:hAnsi="MinionPro-Regular"/>
          <w:color w:val="000000"/>
          <w:szCs w:val="24"/>
        </w:rPr>
        <w:t>ntities (“Aggregate CE Income”).</w:t>
      </w:r>
    </w:p>
    <w:p w14:paraId="26013DF8" w14:textId="77777777" w:rsidR="00F96DED" w:rsidRPr="00F96DED" w:rsidRDefault="00F96DED" w:rsidP="00F96DED">
      <w:pPr>
        <w:ind w:left="720"/>
        <w:contextualSpacing/>
        <w:jc w:val="both"/>
        <w:rPr>
          <w:rFonts w:ascii="MinionPro-Regular" w:hAnsi="MinionPro-Regular"/>
          <w:color w:val="000000"/>
          <w:szCs w:val="24"/>
        </w:rPr>
      </w:pPr>
    </w:p>
    <w:p w14:paraId="18B319AE" w14:textId="6DDB5496" w:rsidR="00F96DED" w:rsidRPr="00F96DED" w:rsidRDefault="00F96DED" w:rsidP="00F96DED">
      <w:pPr>
        <w:numPr>
          <w:ilvl w:val="0"/>
          <w:numId w:val="20"/>
        </w:numPr>
        <w:contextualSpacing/>
        <w:jc w:val="both"/>
        <w:rPr>
          <w:rFonts w:ascii="MinionPro-Regular" w:hAnsi="MinionPro-Regular"/>
          <w:color w:val="000000"/>
          <w:szCs w:val="24"/>
        </w:rPr>
      </w:pPr>
      <w:r w:rsidRPr="00F96DED">
        <w:rPr>
          <w:szCs w:val="24"/>
        </w:rPr>
        <w:t xml:space="preserve">The MNE Group </w:t>
      </w:r>
      <w:r w:rsidR="00052835">
        <w:rPr>
          <w:szCs w:val="24"/>
        </w:rPr>
        <w:t xml:space="preserve">would </w:t>
      </w:r>
      <w:r w:rsidRPr="00F96DED">
        <w:rPr>
          <w:szCs w:val="24"/>
        </w:rPr>
        <w:t xml:space="preserve">source its revenue between jurisdictions based, for example, on the Pillar I rules for sourcing revenue.  </w:t>
      </w:r>
    </w:p>
    <w:p w14:paraId="29ECDFBC" w14:textId="77777777" w:rsidR="00F96DED" w:rsidRPr="00F96DED" w:rsidRDefault="00F96DED" w:rsidP="00F96DED">
      <w:pPr>
        <w:jc w:val="both"/>
        <w:rPr>
          <w:rFonts w:ascii="MinionPro-Regular" w:hAnsi="MinionPro-Regular"/>
          <w:color w:val="000000"/>
          <w:szCs w:val="24"/>
        </w:rPr>
      </w:pPr>
    </w:p>
    <w:p w14:paraId="7F4FF99F" w14:textId="1248DFC1" w:rsidR="00F96DED" w:rsidRPr="00F96DED" w:rsidRDefault="00F96DED" w:rsidP="00F96DED">
      <w:pPr>
        <w:numPr>
          <w:ilvl w:val="0"/>
          <w:numId w:val="20"/>
        </w:numPr>
        <w:contextualSpacing/>
        <w:jc w:val="both"/>
        <w:rPr>
          <w:szCs w:val="24"/>
        </w:rPr>
      </w:pPr>
      <w:r w:rsidRPr="00F96DED">
        <w:rPr>
          <w:szCs w:val="24"/>
        </w:rPr>
        <w:t xml:space="preserve">The MNE Group </w:t>
      </w:r>
      <w:r w:rsidR="00552D76">
        <w:rPr>
          <w:szCs w:val="24"/>
        </w:rPr>
        <w:t xml:space="preserve">would </w:t>
      </w:r>
      <w:r w:rsidRPr="00F96DED">
        <w:rPr>
          <w:szCs w:val="24"/>
        </w:rPr>
        <w:t xml:space="preserve">apportion Aggregate CE Income between jurisdictions on the basis of revenue by multiplying Aggregate CE Income (from Step 1) by a fraction, the numerator of which is the MNE Group revenue sourced to the jurisdiction and the denominator </w:t>
      </w:r>
      <w:r w:rsidR="005C22AA">
        <w:rPr>
          <w:szCs w:val="24"/>
        </w:rPr>
        <w:t xml:space="preserve">of which </w:t>
      </w:r>
      <w:r w:rsidRPr="00F96DED">
        <w:rPr>
          <w:szCs w:val="24"/>
        </w:rPr>
        <w:t xml:space="preserve">is all MNE Group revenue.  The product, for each jurisdiction, is the jurisdiction’s “Revenue Apportioned Share.” </w:t>
      </w:r>
    </w:p>
    <w:p w14:paraId="3A285028" w14:textId="77777777" w:rsidR="00F96DED" w:rsidRPr="00F96DED" w:rsidRDefault="00F96DED" w:rsidP="00F96DED">
      <w:pPr>
        <w:jc w:val="both"/>
        <w:rPr>
          <w:szCs w:val="24"/>
        </w:rPr>
      </w:pPr>
    </w:p>
    <w:p w14:paraId="3797F110" w14:textId="10BC99E7" w:rsidR="00F96DED" w:rsidRPr="00F96DED" w:rsidRDefault="00052835" w:rsidP="00F96DED">
      <w:pPr>
        <w:numPr>
          <w:ilvl w:val="0"/>
          <w:numId w:val="20"/>
        </w:numPr>
        <w:contextualSpacing/>
        <w:jc w:val="both"/>
        <w:rPr>
          <w:szCs w:val="24"/>
        </w:rPr>
      </w:pPr>
      <w:r>
        <w:rPr>
          <w:szCs w:val="24"/>
        </w:rPr>
        <w:t xml:space="preserve">The MNE Group would determine each high tax jurisdiction’s “Base Restored Income,” which would be the jurisdiction’s Revenue Share minus the jurisdiction’s GloBE </w:t>
      </w:r>
      <w:r w:rsidR="005B2AD6">
        <w:rPr>
          <w:szCs w:val="24"/>
        </w:rPr>
        <w:t>i</w:t>
      </w:r>
      <w:r>
        <w:rPr>
          <w:szCs w:val="24"/>
        </w:rPr>
        <w:t>ncome.  Jurisdictions with Base Restored Income less than zero would not be able to charge UTPR Top-Up Tax</w:t>
      </w:r>
      <w:r w:rsidR="005B2AD6">
        <w:rPr>
          <w:szCs w:val="24"/>
        </w:rPr>
        <w:t xml:space="preserve"> that year</w:t>
      </w:r>
      <w:r>
        <w:rPr>
          <w:szCs w:val="24"/>
        </w:rPr>
        <w:t xml:space="preserve">. </w:t>
      </w:r>
    </w:p>
    <w:p w14:paraId="5B07C72E" w14:textId="77777777" w:rsidR="00F96DED" w:rsidRPr="00F96DED" w:rsidRDefault="00F96DED" w:rsidP="00F96DED">
      <w:pPr>
        <w:jc w:val="both"/>
        <w:rPr>
          <w:szCs w:val="24"/>
        </w:rPr>
      </w:pPr>
    </w:p>
    <w:p w14:paraId="54711DC8" w14:textId="2E68DB88" w:rsidR="00F96DED" w:rsidRPr="00F96DED" w:rsidRDefault="00F96DED" w:rsidP="00F96DED">
      <w:pPr>
        <w:numPr>
          <w:ilvl w:val="0"/>
          <w:numId w:val="20"/>
        </w:numPr>
        <w:contextualSpacing/>
        <w:jc w:val="both"/>
        <w:rPr>
          <w:szCs w:val="24"/>
        </w:rPr>
      </w:pPr>
      <w:r w:rsidRPr="00F96DED">
        <w:rPr>
          <w:szCs w:val="24"/>
        </w:rPr>
        <w:t xml:space="preserve">The </w:t>
      </w:r>
      <w:r w:rsidR="00A10FDE">
        <w:rPr>
          <w:szCs w:val="24"/>
        </w:rPr>
        <w:t>MNE Group would multiply the high</w:t>
      </w:r>
      <w:r w:rsidR="005B2AD6">
        <w:rPr>
          <w:szCs w:val="24"/>
        </w:rPr>
        <w:t>-</w:t>
      </w:r>
      <w:r w:rsidR="00A10FDE">
        <w:rPr>
          <w:szCs w:val="24"/>
        </w:rPr>
        <w:t>tax jurisdiction</w:t>
      </w:r>
      <w:r w:rsidR="005B2AD6">
        <w:rPr>
          <w:szCs w:val="24"/>
        </w:rPr>
        <w:t>’</w:t>
      </w:r>
      <w:r w:rsidR="00A10FDE">
        <w:rPr>
          <w:szCs w:val="24"/>
        </w:rPr>
        <w:t>s Base Restored Income by its jurisdiction</w:t>
      </w:r>
      <w:r w:rsidR="004677E4">
        <w:rPr>
          <w:szCs w:val="24"/>
        </w:rPr>
        <w:t>’</w:t>
      </w:r>
      <w:r w:rsidR="00A10FDE">
        <w:rPr>
          <w:szCs w:val="24"/>
        </w:rPr>
        <w:t>s Effective Tax Rate, to determine the jurisdiction’s “UTPR Top-Up Tax Cap.”</w:t>
      </w:r>
    </w:p>
    <w:p w14:paraId="129054FB" w14:textId="77777777" w:rsidR="00F96DED" w:rsidRPr="00F96DED" w:rsidRDefault="00F96DED" w:rsidP="00F96DED">
      <w:pPr>
        <w:jc w:val="both"/>
        <w:rPr>
          <w:szCs w:val="24"/>
        </w:rPr>
      </w:pPr>
    </w:p>
    <w:p w14:paraId="0A940E47" w14:textId="07BAB51F" w:rsidR="00F96DED" w:rsidRPr="00F96DED" w:rsidRDefault="00A10FDE" w:rsidP="00F96DED">
      <w:pPr>
        <w:numPr>
          <w:ilvl w:val="0"/>
          <w:numId w:val="20"/>
        </w:numPr>
        <w:contextualSpacing/>
        <w:jc w:val="both"/>
        <w:rPr>
          <w:szCs w:val="24"/>
        </w:rPr>
      </w:pPr>
      <w:r>
        <w:rPr>
          <w:szCs w:val="24"/>
        </w:rPr>
        <w:t>UTPR Top-Up Tax would be apportioned to high tax jurisdictions in proportion and subject to each high</w:t>
      </w:r>
      <w:r w:rsidR="004677E4">
        <w:rPr>
          <w:szCs w:val="24"/>
        </w:rPr>
        <w:t>-</w:t>
      </w:r>
      <w:r>
        <w:rPr>
          <w:szCs w:val="24"/>
        </w:rPr>
        <w:t xml:space="preserve">tax jurisdiction’s UTRP Top-Up Tax Cap. </w:t>
      </w:r>
    </w:p>
    <w:p w14:paraId="6CF46B3E" w14:textId="77777777" w:rsidR="00F96DED" w:rsidRPr="00F96DED" w:rsidRDefault="00F96DED" w:rsidP="00F96DED">
      <w:pPr>
        <w:jc w:val="both"/>
        <w:rPr>
          <w:rFonts w:ascii="MinionPro-Regular" w:hAnsi="MinionPro-Regular"/>
          <w:color w:val="000000"/>
          <w:szCs w:val="24"/>
        </w:rPr>
      </w:pPr>
    </w:p>
    <w:p w14:paraId="77C3253A" w14:textId="7ED37AF2"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The most significant improvement that such an alternative would offer is that UTPR, at least arguably, would not defy the fundamental principles of source and residence based taxation.  The apportionment of Top-Up Tax to a jurisdiction on the basis of the relative portion of the MNE Group’s total revenue sourced to the jurisdiction and the mechanisms to prevent jurisdictions from taxing more than their revenue share would provide a basis to support each jurisdiction’s claim to its portion of Top-Up Tax</w:t>
      </w:r>
      <w:r w:rsidR="00A10FDE">
        <w:rPr>
          <w:rFonts w:ascii="MinionPro-Regular" w:hAnsi="MinionPro-Regular"/>
          <w:color w:val="000000"/>
          <w:szCs w:val="24"/>
        </w:rPr>
        <w:t xml:space="preserve"> (independent </w:t>
      </w:r>
      <w:r w:rsidR="004677E4">
        <w:rPr>
          <w:rFonts w:ascii="MinionPro-Regular" w:hAnsi="MinionPro-Regular"/>
          <w:color w:val="000000"/>
          <w:szCs w:val="24"/>
        </w:rPr>
        <w:t xml:space="preserve">of </w:t>
      </w:r>
      <w:r w:rsidR="00A10FDE">
        <w:rPr>
          <w:rFonts w:ascii="MinionPro-Regular" w:hAnsi="MinionPro-Regular"/>
          <w:color w:val="000000"/>
          <w:szCs w:val="24"/>
        </w:rPr>
        <w:t>Top-Up Tax mechanics)</w:t>
      </w:r>
      <w:r w:rsidRPr="00F96DED">
        <w:rPr>
          <w:rFonts w:ascii="MinionPro-Regular" w:hAnsi="MinionPro-Regular"/>
          <w:color w:val="000000"/>
          <w:szCs w:val="24"/>
        </w:rPr>
        <w:t>.  Another benefit to this approach is that it aligns with the current trends toward market</w:t>
      </w:r>
      <w:r w:rsidR="00F353A3">
        <w:rPr>
          <w:rFonts w:ascii="MinionPro-Regular" w:hAnsi="MinionPro-Regular"/>
          <w:color w:val="000000"/>
          <w:szCs w:val="24"/>
        </w:rPr>
        <w:t>-</w:t>
      </w:r>
      <w:r w:rsidRPr="00F96DED">
        <w:rPr>
          <w:rFonts w:ascii="MinionPro-Regular" w:hAnsi="MinionPro-Regular"/>
          <w:color w:val="000000"/>
          <w:szCs w:val="24"/>
        </w:rPr>
        <w:t>based sourcing in both the State and international tax space</w:t>
      </w:r>
      <w:r w:rsidR="00F353A3">
        <w:rPr>
          <w:rFonts w:ascii="MinionPro-Regular" w:hAnsi="MinionPro-Regular"/>
          <w:color w:val="000000"/>
          <w:szCs w:val="24"/>
        </w:rPr>
        <w:t>s</w:t>
      </w:r>
      <w:r w:rsidRPr="00F96DED">
        <w:rPr>
          <w:rFonts w:ascii="MinionPro-Regular" w:hAnsi="MinionPro-Regular"/>
          <w:color w:val="000000"/>
          <w:szCs w:val="24"/>
        </w:rPr>
        <w:t>.  Under the current UTPR formula</w:t>
      </w:r>
      <w:r w:rsidR="00F353A3">
        <w:rPr>
          <w:rFonts w:ascii="MinionPro-Regular" w:hAnsi="MinionPro-Regular"/>
          <w:color w:val="000000"/>
          <w:szCs w:val="24"/>
        </w:rPr>
        <w:t>,</w:t>
      </w:r>
      <w:r w:rsidRPr="00F96DED">
        <w:rPr>
          <w:rFonts w:ascii="MinionPro-Regular" w:hAnsi="MinionPro-Regular"/>
          <w:color w:val="000000"/>
          <w:szCs w:val="24"/>
        </w:rPr>
        <w:t xml:space="preserve"> countries would face severe downsides implementing UTPRs without a coercive element because MNE Groups would be incentivized to move employees and tangible assets out of UTPR jurisdictions, the same issue that caused many States to transition from the Massachusetts Formula to </w:t>
      </w:r>
      <w:r w:rsidR="00F353A3">
        <w:rPr>
          <w:rFonts w:ascii="MinionPro-Regular" w:hAnsi="MinionPro-Regular"/>
          <w:color w:val="000000"/>
          <w:szCs w:val="24"/>
        </w:rPr>
        <w:t>a s</w:t>
      </w:r>
      <w:r w:rsidRPr="00F96DED">
        <w:rPr>
          <w:rFonts w:ascii="MinionPro-Regular" w:hAnsi="MinionPro-Regular"/>
          <w:color w:val="000000"/>
          <w:szCs w:val="24"/>
        </w:rPr>
        <w:t xml:space="preserve">ingle </w:t>
      </w:r>
      <w:r w:rsidR="00F353A3">
        <w:rPr>
          <w:rFonts w:ascii="MinionPro-Regular" w:hAnsi="MinionPro-Regular"/>
          <w:color w:val="000000"/>
          <w:szCs w:val="24"/>
        </w:rPr>
        <w:t>f</w:t>
      </w:r>
      <w:r w:rsidRPr="00F96DED">
        <w:rPr>
          <w:rFonts w:ascii="MinionPro-Regular" w:hAnsi="MinionPro-Regular"/>
          <w:color w:val="000000"/>
          <w:szCs w:val="24"/>
        </w:rPr>
        <w:t xml:space="preserve">actor </w:t>
      </w:r>
      <w:r w:rsidR="00F353A3">
        <w:rPr>
          <w:rFonts w:ascii="MinionPro-Regular" w:hAnsi="MinionPro-Regular"/>
          <w:color w:val="000000"/>
          <w:szCs w:val="24"/>
        </w:rPr>
        <w:t>s</w:t>
      </w:r>
      <w:r w:rsidRPr="00F96DED">
        <w:rPr>
          <w:rFonts w:ascii="MinionPro-Regular" w:hAnsi="MinionPro-Regular"/>
          <w:color w:val="000000"/>
          <w:szCs w:val="24"/>
        </w:rPr>
        <w:t>ales</w:t>
      </w:r>
      <w:r w:rsidR="00F353A3">
        <w:rPr>
          <w:rFonts w:ascii="MinionPro-Regular" w:hAnsi="MinionPro-Regular"/>
          <w:color w:val="000000"/>
          <w:szCs w:val="24"/>
        </w:rPr>
        <w:t xml:space="preserve"> method</w:t>
      </w:r>
      <w:r w:rsidRPr="00F96DED">
        <w:rPr>
          <w:rFonts w:ascii="MinionPro-Regular" w:hAnsi="MinionPro-Regular"/>
          <w:color w:val="000000"/>
          <w:szCs w:val="24"/>
        </w:rPr>
        <w:t>.  A country would have no downside applying a UTPR that applies the formula above because</w:t>
      </w:r>
      <w:r w:rsidR="00F353A3">
        <w:rPr>
          <w:rFonts w:ascii="MinionPro-Regular" w:hAnsi="MinionPro-Regular"/>
          <w:color w:val="000000"/>
          <w:szCs w:val="24"/>
        </w:rPr>
        <w:t>,</w:t>
      </w:r>
      <w:r w:rsidRPr="00F96DED">
        <w:rPr>
          <w:rFonts w:ascii="MinionPro-Regular" w:hAnsi="MinionPro-Regular"/>
          <w:color w:val="000000"/>
          <w:szCs w:val="24"/>
        </w:rPr>
        <w:t xml:space="preserve"> no matter where an MNE Group relocated profits or profit</w:t>
      </w:r>
      <w:r w:rsidR="00F353A3">
        <w:rPr>
          <w:rFonts w:ascii="MinionPro-Regular" w:hAnsi="MinionPro-Regular"/>
          <w:color w:val="000000"/>
          <w:szCs w:val="24"/>
        </w:rPr>
        <w:t>-</w:t>
      </w:r>
      <w:r w:rsidRPr="00F96DED">
        <w:rPr>
          <w:rFonts w:ascii="MinionPro-Regular" w:hAnsi="MinionPro-Regular"/>
          <w:color w:val="000000"/>
          <w:szCs w:val="24"/>
        </w:rPr>
        <w:t>making operations, the location of the MNE Group’s market would not change.  Finally, to the extent that it is true that countries with low tax rate</w:t>
      </w:r>
      <w:r w:rsidR="00F353A3">
        <w:rPr>
          <w:rFonts w:ascii="MinionPro-Regular" w:hAnsi="MinionPro-Regular"/>
          <w:color w:val="000000"/>
          <w:szCs w:val="24"/>
        </w:rPr>
        <w:t>s</w:t>
      </w:r>
      <w:r w:rsidRPr="00F96DED">
        <w:rPr>
          <w:rFonts w:ascii="MinionPro-Regular" w:hAnsi="MinionPro-Regular"/>
          <w:color w:val="000000"/>
          <w:szCs w:val="24"/>
        </w:rPr>
        <w:t xml:space="preserve"> are harming countries with high tax rates by providing an incentive to relocate profits to the low</w:t>
      </w:r>
      <w:r w:rsidR="00F353A3">
        <w:rPr>
          <w:rFonts w:ascii="MinionPro-Regular" w:hAnsi="MinionPro-Regular"/>
          <w:color w:val="000000"/>
          <w:szCs w:val="24"/>
        </w:rPr>
        <w:t>-</w:t>
      </w:r>
      <w:r w:rsidRPr="00F96DED">
        <w:rPr>
          <w:rFonts w:ascii="MinionPro-Regular" w:hAnsi="MinionPro-Regular"/>
          <w:color w:val="000000"/>
          <w:szCs w:val="24"/>
        </w:rPr>
        <w:t xml:space="preserve">tax jurisdiction, </w:t>
      </w:r>
      <w:r w:rsidR="00F353A3">
        <w:rPr>
          <w:rFonts w:ascii="MinionPro-Regular" w:hAnsi="MinionPro-Regular"/>
          <w:color w:val="000000"/>
          <w:szCs w:val="24"/>
        </w:rPr>
        <w:t xml:space="preserve">a </w:t>
      </w:r>
      <w:r w:rsidRPr="00F96DED">
        <w:rPr>
          <w:rFonts w:ascii="MinionPro-Regular" w:hAnsi="MinionPro-Regular"/>
          <w:color w:val="000000"/>
          <w:szCs w:val="24"/>
        </w:rPr>
        <w:t xml:space="preserve">UTPR based on the above formula would correct for that incentive.  No matter what, every country would be entitled to tax </w:t>
      </w:r>
      <w:r w:rsidR="00CC78E4">
        <w:rPr>
          <w:rFonts w:ascii="MinionPro-Regular" w:hAnsi="MinionPro-Regular"/>
          <w:color w:val="000000"/>
          <w:szCs w:val="24"/>
        </w:rPr>
        <w:t>its</w:t>
      </w:r>
      <w:r w:rsidR="00CC78E4" w:rsidRPr="00F96DED">
        <w:rPr>
          <w:rFonts w:ascii="MinionPro-Regular" w:hAnsi="MinionPro-Regular"/>
          <w:color w:val="000000"/>
          <w:szCs w:val="24"/>
        </w:rPr>
        <w:t xml:space="preserve"> </w:t>
      </w:r>
      <w:r w:rsidRPr="00F96DED">
        <w:rPr>
          <w:rFonts w:ascii="MinionPro-Regular" w:hAnsi="MinionPro-Regular"/>
          <w:color w:val="000000"/>
          <w:szCs w:val="24"/>
        </w:rPr>
        <w:t xml:space="preserve">share of undertaxed profits, with </w:t>
      </w:r>
      <w:r w:rsidR="00CC78E4">
        <w:rPr>
          <w:rFonts w:ascii="MinionPro-Regular" w:hAnsi="MinionPro-Regular"/>
          <w:color w:val="000000"/>
          <w:szCs w:val="24"/>
        </w:rPr>
        <w:t>its</w:t>
      </w:r>
      <w:r w:rsidR="00CC78E4" w:rsidRPr="00F96DED">
        <w:rPr>
          <w:rFonts w:ascii="MinionPro-Regular" w:hAnsi="MinionPro-Regular"/>
          <w:color w:val="000000"/>
          <w:szCs w:val="24"/>
        </w:rPr>
        <w:t xml:space="preserve"> </w:t>
      </w:r>
      <w:r w:rsidRPr="00F96DED">
        <w:rPr>
          <w:rFonts w:ascii="MinionPro-Regular" w:hAnsi="MinionPro-Regular"/>
          <w:color w:val="000000"/>
          <w:szCs w:val="24"/>
        </w:rPr>
        <w:t xml:space="preserve">share </w:t>
      </w:r>
      <w:r w:rsidR="00F353A3">
        <w:rPr>
          <w:rFonts w:ascii="MinionPro-Regular" w:hAnsi="MinionPro-Regular"/>
          <w:color w:val="000000"/>
          <w:szCs w:val="24"/>
        </w:rPr>
        <w:t xml:space="preserve">being </w:t>
      </w:r>
      <w:r w:rsidRPr="00F96DED">
        <w:rPr>
          <w:rFonts w:ascii="MinionPro-Regular" w:hAnsi="MinionPro-Regular"/>
          <w:color w:val="000000"/>
          <w:szCs w:val="24"/>
        </w:rPr>
        <w:t xml:space="preserve">based on </w:t>
      </w:r>
      <w:r w:rsidR="00CC78E4">
        <w:rPr>
          <w:rFonts w:ascii="MinionPro-Regular" w:hAnsi="MinionPro-Regular"/>
          <w:color w:val="000000"/>
          <w:szCs w:val="24"/>
        </w:rPr>
        <w:t>its</w:t>
      </w:r>
      <w:r w:rsidR="00CC78E4" w:rsidRPr="00F96DED">
        <w:rPr>
          <w:rFonts w:ascii="MinionPro-Regular" w:hAnsi="MinionPro-Regular"/>
          <w:color w:val="000000"/>
          <w:szCs w:val="24"/>
        </w:rPr>
        <w:t xml:space="preserve"> </w:t>
      </w:r>
      <w:r w:rsidRPr="00F96DED">
        <w:rPr>
          <w:rFonts w:ascii="MinionPro-Regular" w:hAnsi="MinionPro-Regular"/>
          <w:color w:val="000000"/>
          <w:szCs w:val="24"/>
        </w:rPr>
        <w:t>share of the MNE Group’s market.</w:t>
      </w:r>
    </w:p>
    <w:p w14:paraId="14781E14" w14:textId="77777777" w:rsidR="00F96DED" w:rsidRPr="00F96DED" w:rsidRDefault="00F96DED" w:rsidP="00F96DED">
      <w:pPr>
        <w:jc w:val="both"/>
        <w:rPr>
          <w:rFonts w:ascii="MinionPro-Regular" w:hAnsi="MinionPro-Regular"/>
          <w:color w:val="000000"/>
          <w:szCs w:val="24"/>
        </w:rPr>
      </w:pPr>
    </w:p>
    <w:p w14:paraId="5F26B06B" w14:textId="77E79413" w:rsidR="00F96DED" w:rsidRPr="00F96DED" w:rsidRDefault="00F96DED" w:rsidP="00F96DED">
      <w:pPr>
        <w:jc w:val="both"/>
        <w:rPr>
          <w:rFonts w:ascii="MinionPro-Regular" w:hAnsi="MinionPro-Regular"/>
          <w:color w:val="000000"/>
          <w:szCs w:val="24"/>
        </w:rPr>
      </w:pPr>
      <w:r w:rsidRPr="00F96DED">
        <w:rPr>
          <w:rFonts w:ascii="MinionPro-Regular" w:hAnsi="MinionPro-Regular"/>
          <w:color w:val="000000"/>
          <w:szCs w:val="24"/>
        </w:rPr>
        <w:t>Of course</w:t>
      </w:r>
      <w:r w:rsidR="00F353A3">
        <w:rPr>
          <w:rFonts w:ascii="MinionPro-Regular" w:hAnsi="MinionPro-Regular"/>
          <w:color w:val="000000"/>
          <w:szCs w:val="24"/>
        </w:rPr>
        <w:t>,</w:t>
      </w:r>
      <w:r w:rsidRPr="00F96DED">
        <w:rPr>
          <w:rFonts w:ascii="MinionPro-Regular" w:hAnsi="MinionPro-Regular"/>
          <w:color w:val="000000"/>
          <w:szCs w:val="24"/>
        </w:rPr>
        <w:t xml:space="preserve"> there are drawbacks as well.  One drawback is that such a UTPR would need to include market jurisdictions in which an MNE Group may not have a resident affiliate or permanent establishment.  That, however, may not be a drawback, because, as we have discussed, with the exception of UTPR, the trend has been to deemphasize the importance of permanent establishment</w:t>
      </w:r>
      <w:r w:rsidR="00F4141C">
        <w:rPr>
          <w:rFonts w:ascii="MinionPro-Regular" w:hAnsi="MinionPro-Regular"/>
          <w:color w:val="000000"/>
          <w:szCs w:val="24"/>
        </w:rPr>
        <w:t>s</w:t>
      </w:r>
      <w:r w:rsidRPr="00F96DED">
        <w:rPr>
          <w:rFonts w:ascii="MinionPro-Regular" w:hAnsi="MinionPro-Regular"/>
          <w:color w:val="000000"/>
          <w:szCs w:val="24"/>
        </w:rPr>
        <w:t xml:space="preserve">.  If the issue is that UTPR countries without permanent establishments would not have taxing rights under the current treaty framework, there does not appear to be any argument that </w:t>
      </w:r>
      <w:r w:rsidR="007D2B85">
        <w:rPr>
          <w:rFonts w:ascii="MinionPro-Regular" w:hAnsi="MinionPro-Regular"/>
          <w:color w:val="000000"/>
          <w:szCs w:val="24"/>
        </w:rPr>
        <w:t xml:space="preserve">the </w:t>
      </w:r>
      <w:r w:rsidRPr="00F96DED">
        <w:rPr>
          <w:rFonts w:ascii="MinionPro-Regular" w:hAnsi="MinionPro-Regular"/>
          <w:color w:val="000000"/>
          <w:szCs w:val="24"/>
        </w:rPr>
        <w:t>issue applies any less if the threshold to participate in UTPR requires a permanent establishment, as discussed in Part IV.A.  The other</w:t>
      </w:r>
      <w:r w:rsidR="00F4141C">
        <w:rPr>
          <w:rFonts w:ascii="MinionPro-Regular" w:hAnsi="MinionPro-Regular"/>
          <w:color w:val="000000"/>
          <w:szCs w:val="24"/>
        </w:rPr>
        <w:t>,</w:t>
      </w:r>
      <w:r w:rsidRPr="00F96DED">
        <w:rPr>
          <w:rFonts w:ascii="MinionPro-Regular" w:hAnsi="MinionPro-Regular"/>
          <w:color w:val="000000"/>
          <w:szCs w:val="24"/>
        </w:rPr>
        <w:t xml:space="preserve"> perhaps more significant</w:t>
      </w:r>
      <w:r w:rsidR="00F4141C">
        <w:rPr>
          <w:rFonts w:ascii="MinionPro-Regular" w:hAnsi="MinionPro-Regular"/>
          <w:color w:val="000000"/>
          <w:szCs w:val="24"/>
        </w:rPr>
        <w:t>,</w:t>
      </w:r>
      <w:r w:rsidRPr="00F96DED">
        <w:rPr>
          <w:rFonts w:ascii="MinionPro-Regular" w:hAnsi="MinionPro-Regular"/>
          <w:color w:val="000000"/>
          <w:szCs w:val="24"/>
        </w:rPr>
        <w:t xml:space="preserve"> drawback is the difficulty in settling on rules for sourcing revenue, which admittedly is a more difficult exercise </w:t>
      </w:r>
      <w:r w:rsidRPr="00F96DED">
        <w:rPr>
          <w:rFonts w:ascii="MinionPro-Regular" w:hAnsi="MinionPro-Regular"/>
          <w:color w:val="000000"/>
          <w:szCs w:val="24"/>
        </w:rPr>
        <w:lastRenderedPageBreak/>
        <w:t xml:space="preserve">than using more arbitrary factors like </w:t>
      </w:r>
      <w:r w:rsidR="00F4141C">
        <w:rPr>
          <w:rFonts w:ascii="MinionPro-Regular" w:hAnsi="MinionPro-Regular"/>
          <w:color w:val="000000"/>
          <w:szCs w:val="24"/>
        </w:rPr>
        <w:t xml:space="preserve">the </w:t>
      </w:r>
      <w:r w:rsidRPr="00F96DED">
        <w:rPr>
          <w:rFonts w:ascii="MinionPro-Regular" w:hAnsi="MinionPro-Regular"/>
          <w:color w:val="000000"/>
          <w:szCs w:val="24"/>
        </w:rPr>
        <w:t xml:space="preserve">number of employees and adjusted book values for tangible assets.  Of course, if Pillar I </w:t>
      </w:r>
      <w:r w:rsidR="007D2B85">
        <w:rPr>
          <w:rFonts w:ascii="MinionPro-Regular" w:hAnsi="MinionPro-Regular"/>
          <w:color w:val="000000"/>
          <w:szCs w:val="24"/>
        </w:rPr>
        <w:t xml:space="preserve">Amount A </w:t>
      </w:r>
      <w:r w:rsidRPr="00F96DED">
        <w:rPr>
          <w:rFonts w:ascii="MinionPro-Regular" w:hAnsi="MinionPro-Regular"/>
          <w:color w:val="000000"/>
          <w:szCs w:val="24"/>
        </w:rPr>
        <w:t>actually happens</w:t>
      </w:r>
      <w:r w:rsidR="00F4141C">
        <w:rPr>
          <w:rFonts w:ascii="MinionPro-Regular" w:hAnsi="MinionPro-Regular"/>
          <w:color w:val="000000"/>
          <w:szCs w:val="24"/>
        </w:rPr>
        <w:t>,</w:t>
      </w:r>
      <w:r w:rsidRPr="00F96DED">
        <w:rPr>
          <w:rFonts w:ascii="MinionPro-Regular" w:hAnsi="MinionPro-Regular"/>
          <w:color w:val="000000"/>
          <w:szCs w:val="24"/>
        </w:rPr>
        <w:t xml:space="preserve"> then this is not an issue at all.  If Pillar I does not happen, then for folks who </w:t>
      </w:r>
      <w:r w:rsidR="00F4141C">
        <w:rPr>
          <w:rFonts w:ascii="MinionPro-Regular" w:hAnsi="MinionPro-Regular"/>
          <w:color w:val="000000"/>
          <w:szCs w:val="24"/>
        </w:rPr>
        <w:t xml:space="preserve">would </w:t>
      </w:r>
      <w:r w:rsidRPr="00F96DED">
        <w:rPr>
          <w:rFonts w:ascii="MinionPro-Regular" w:hAnsi="MinionPro-Regular"/>
          <w:color w:val="000000"/>
          <w:szCs w:val="24"/>
        </w:rPr>
        <w:t>like to see MNE Groups pay more tax, it may not be an issue either.  Likely, countries would try to overstate their respective Revenue Apportioned Shares, which</w:t>
      </w:r>
      <w:r w:rsidR="007D2B85">
        <w:rPr>
          <w:rFonts w:ascii="MinionPro-Regular" w:hAnsi="MinionPro-Regular"/>
          <w:color w:val="000000"/>
          <w:szCs w:val="24"/>
        </w:rPr>
        <w:t>,</w:t>
      </w:r>
      <w:r w:rsidRPr="00F96DED">
        <w:rPr>
          <w:rFonts w:ascii="MinionPro-Regular" w:hAnsi="MinionPro-Regular"/>
          <w:color w:val="000000"/>
          <w:szCs w:val="24"/>
        </w:rPr>
        <w:t xml:space="preserve"> for a time, would give rise to double taxation, as the </w:t>
      </w:r>
      <w:r w:rsidR="00F4141C">
        <w:rPr>
          <w:rFonts w:ascii="MinionPro-Regular" w:hAnsi="MinionPro-Regular"/>
          <w:color w:val="000000"/>
          <w:szCs w:val="24"/>
        </w:rPr>
        <w:t>s</w:t>
      </w:r>
      <w:r w:rsidRPr="00F96DED">
        <w:rPr>
          <w:rFonts w:ascii="MinionPro-Regular" w:hAnsi="MinionPro-Regular"/>
          <w:color w:val="000000"/>
          <w:szCs w:val="24"/>
        </w:rPr>
        <w:t xml:space="preserve">ingle </w:t>
      </w:r>
      <w:r w:rsidR="00F4141C">
        <w:rPr>
          <w:rFonts w:ascii="MinionPro-Regular" w:hAnsi="MinionPro-Regular"/>
          <w:color w:val="000000"/>
          <w:szCs w:val="24"/>
        </w:rPr>
        <w:t>f</w:t>
      </w:r>
      <w:r w:rsidRPr="00F96DED">
        <w:rPr>
          <w:rFonts w:ascii="MinionPro-Regular" w:hAnsi="MinionPro-Regular"/>
          <w:color w:val="000000"/>
          <w:szCs w:val="24"/>
        </w:rPr>
        <w:t xml:space="preserve">actor </w:t>
      </w:r>
      <w:r w:rsidR="00F4141C">
        <w:rPr>
          <w:rFonts w:ascii="MinionPro-Regular" w:hAnsi="MinionPro-Regular"/>
          <w:color w:val="000000"/>
          <w:szCs w:val="24"/>
        </w:rPr>
        <w:t>s</w:t>
      </w:r>
      <w:r w:rsidRPr="00F96DED">
        <w:rPr>
          <w:rFonts w:ascii="MinionPro-Regular" w:hAnsi="MinionPro-Regular"/>
          <w:color w:val="000000"/>
          <w:szCs w:val="24"/>
        </w:rPr>
        <w:t>ales apportionment method often does in the State tax space.  This would provide an incentive for countries to come to the table and, if not agree to Pillar I, agree to a method for sourcing revenue</w:t>
      </w:r>
      <w:r w:rsidR="00F4141C">
        <w:rPr>
          <w:rFonts w:ascii="MinionPro-Regular" w:hAnsi="MinionPro-Regular"/>
          <w:color w:val="000000"/>
          <w:szCs w:val="24"/>
        </w:rPr>
        <w:t>.</w:t>
      </w:r>
      <w:r w:rsidRPr="00F96DED">
        <w:rPr>
          <w:rFonts w:ascii="MinionPro-Regular" w:hAnsi="MinionPro-Regular"/>
          <w:color w:val="000000"/>
          <w:szCs w:val="24"/>
        </w:rPr>
        <w:t xml:space="preserve"> </w:t>
      </w:r>
    </w:p>
    <w:p w14:paraId="6A4AD9D3" w14:textId="77777777" w:rsidR="00F96DED" w:rsidRPr="00F96DED" w:rsidRDefault="00F96DED" w:rsidP="00F96DED">
      <w:pPr>
        <w:keepNext/>
        <w:keepLines/>
        <w:numPr>
          <w:ilvl w:val="0"/>
          <w:numId w:val="12"/>
        </w:numPr>
        <w:spacing w:before="240" w:line="240" w:lineRule="exact"/>
        <w:ind w:right="720"/>
        <w:outlineLvl w:val="0"/>
        <w:rPr>
          <w:b/>
          <w:caps/>
          <w:szCs w:val="24"/>
          <w:u w:val="single"/>
        </w:rPr>
      </w:pPr>
      <w:r w:rsidRPr="00F96DED">
        <w:rPr>
          <w:b/>
          <w:caps/>
          <w:szCs w:val="24"/>
          <w:u w:val="single"/>
        </w:rPr>
        <w:t>Conclusion</w:t>
      </w:r>
    </w:p>
    <w:p w14:paraId="54937581" w14:textId="77777777" w:rsidR="00F96DED" w:rsidRPr="00F96DED" w:rsidRDefault="00F96DED" w:rsidP="00F96DED">
      <w:pPr>
        <w:jc w:val="both"/>
        <w:rPr>
          <w:szCs w:val="24"/>
        </w:rPr>
      </w:pPr>
    </w:p>
    <w:p w14:paraId="380FA763" w14:textId="0A289C82" w:rsidR="00F96DED" w:rsidRPr="00F96DED" w:rsidRDefault="00F96DED" w:rsidP="00F96DED">
      <w:pPr>
        <w:jc w:val="both"/>
        <w:rPr>
          <w:szCs w:val="24"/>
        </w:rPr>
      </w:pPr>
      <w:r w:rsidRPr="00F96DED">
        <w:rPr>
          <w:szCs w:val="24"/>
        </w:rPr>
        <w:t>To begin our discussion, we discussed the background for the League of Nations</w:t>
      </w:r>
      <w:r w:rsidR="007D2B85">
        <w:rPr>
          <w:szCs w:val="24"/>
        </w:rPr>
        <w:t>’</w:t>
      </w:r>
      <w:r w:rsidRPr="00F96DED">
        <w:rPr>
          <w:szCs w:val="24"/>
        </w:rPr>
        <w:t xml:space="preserve"> historic compromise between source countries and residence countries around the concept of permanent establishment.  A country that could claim to be the source of a taxpayer’s income </w:t>
      </w:r>
      <w:r w:rsidR="00F4141C">
        <w:rPr>
          <w:szCs w:val="24"/>
        </w:rPr>
        <w:t>was</w:t>
      </w:r>
      <w:r w:rsidR="00F4141C" w:rsidRPr="00F96DED">
        <w:rPr>
          <w:szCs w:val="24"/>
        </w:rPr>
        <w:t xml:space="preserve"> </w:t>
      </w:r>
      <w:r w:rsidRPr="00F96DED">
        <w:rPr>
          <w:szCs w:val="24"/>
        </w:rPr>
        <w:t>viewed as having a legitimate claim to tax the income.  The taxpayer’s country of residence also was viewed as having a legitimate claim to the income earned by its resident.  With respect to business income, nations aligned on a compromise between these competing claims.  If the taxpayer did not have a physical presence in the source country rising to the level of a permanent establishment, the source country would yield its claim to tax the income.  If the taxpayer had a physical presence in the source country</w:t>
      </w:r>
      <w:r w:rsidR="00F4141C">
        <w:rPr>
          <w:szCs w:val="24"/>
        </w:rPr>
        <w:t xml:space="preserve"> that</w:t>
      </w:r>
      <w:r w:rsidRPr="00F96DED">
        <w:rPr>
          <w:szCs w:val="24"/>
        </w:rPr>
        <w:t xml:space="preserve"> rose to the level of a permanent establishment, the residence country would accept the responsibility of preventing double taxation either by yielding its claim to tax the income or agreeing to provide a tax credit with respect to the tax imposed by the source country.  </w:t>
      </w:r>
    </w:p>
    <w:p w14:paraId="4B954C6B" w14:textId="77777777" w:rsidR="00F96DED" w:rsidRPr="00F96DED" w:rsidRDefault="00F96DED" w:rsidP="00F96DED">
      <w:pPr>
        <w:jc w:val="both"/>
        <w:rPr>
          <w:szCs w:val="24"/>
        </w:rPr>
      </w:pPr>
    </w:p>
    <w:p w14:paraId="39A17B57" w14:textId="58DA4D65" w:rsidR="00F96DED" w:rsidRPr="00F96DED" w:rsidRDefault="00F96DED" w:rsidP="00F96DED">
      <w:pPr>
        <w:jc w:val="both"/>
        <w:rPr>
          <w:szCs w:val="24"/>
        </w:rPr>
      </w:pPr>
      <w:r w:rsidRPr="00F96DED">
        <w:rPr>
          <w:szCs w:val="24"/>
        </w:rPr>
        <w:t>In the State tax space, we observed a historic</w:t>
      </w:r>
      <w:r w:rsidR="00F4141C">
        <w:rPr>
          <w:szCs w:val="24"/>
        </w:rPr>
        <w:t>al</w:t>
      </w:r>
      <w:r w:rsidRPr="00F96DED">
        <w:rPr>
          <w:szCs w:val="24"/>
        </w:rPr>
        <w:t xml:space="preserve"> focus on physical presence as the threshold for a State to claim the right to tax interstate income and the more recent shift away from that standard.  The shift was connected to the rise of the digital age.  We also observed how States have shifted towards market</w:t>
      </w:r>
      <w:r w:rsidR="00F4141C">
        <w:rPr>
          <w:szCs w:val="24"/>
        </w:rPr>
        <w:t>-</w:t>
      </w:r>
      <w:r w:rsidRPr="00F96DED">
        <w:rPr>
          <w:szCs w:val="24"/>
        </w:rPr>
        <w:t>based sourcing and how market</w:t>
      </w:r>
      <w:r w:rsidR="00F4141C">
        <w:rPr>
          <w:szCs w:val="24"/>
        </w:rPr>
        <w:t>-</w:t>
      </w:r>
      <w:r w:rsidRPr="00F96DED">
        <w:rPr>
          <w:szCs w:val="24"/>
        </w:rPr>
        <w:t xml:space="preserve">based sourcing eliminates opportunities to shift income between jurisdictions.  We also </w:t>
      </w:r>
      <w:r w:rsidR="00F4141C">
        <w:rPr>
          <w:szCs w:val="24"/>
        </w:rPr>
        <w:t>discussed how</w:t>
      </w:r>
      <w:r w:rsidRPr="00F96DED">
        <w:rPr>
          <w:szCs w:val="24"/>
        </w:rPr>
        <w:t xml:space="preserve"> WWCR </w:t>
      </w:r>
      <w:r w:rsidR="00F4141C">
        <w:rPr>
          <w:szCs w:val="24"/>
        </w:rPr>
        <w:t xml:space="preserve">was </w:t>
      </w:r>
      <w:r w:rsidRPr="00F96DED">
        <w:rPr>
          <w:szCs w:val="24"/>
        </w:rPr>
        <w:t xml:space="preserve">adopted by a number of States, which was an early foray by States into extraterritorial taxation. </w:t>
      </w:r>
    </w:p>
    <w:p w14:paraId="0305839D" w14:textId="77777777" w:rsidR="00F96DED" w:rsidRPr="00F96DED" w:rsidRDefault="00F96DED" w:rsidP="00F96DED">
      <w:pPr>
        <w:jc w:val="both"/>
        <w:rPr>
          <w:szCs w:val="24"/>
        </w:rPr>
      </w:pPr>
    </w:p>
    <w:p w14:paraId="0596CAB2" w14:textId="7F1DFB1D" w:rsidR="00F96DED" w:rsidRPr="00F96DED" w:rsidRDefault="00F96DED" w:rsidP="00F96DED">
      <w:pPr>
        <w:jc w:val="both"/>
        <w:rPr>
          <w:szCs w:val="24"/>
        </w:rPr>
      </w:pPr>
      <w:r w:rsidRPr="00F96DED">
        <w:rPr>
          <w:szCs w:val="24"/>
        </w:rPr>
        <w:t xml:space="preserve">These trends in State tax align with trends in international tax, specifically with respect to </w:t>
      </w:r>
      <w:r w:rsidR="0013476B">
        <w:rPr>
          <w:szCs w:val="24"/>
        </w:rPr>
        <w:t xml:space="preserve">the </w:t>
      </w:r>
      <w:r w:rsidRPr="00F96DED">
        <w:rPr>
          <w:szCs w:val="24"/>
        </w:rPr>
        <w:t xml:space="preserve">DPT and DSTs.  </w:t>
      </w:r>
      <w:r w:rsidR="0013476B">
        <w:rPr>
          <w:szCs w:val="24"/>
        </w:rPr>
        <w:t xml:space="preserve">The </w:t>
      </w:r>
      <w:r w:rsidRPr="00F96DED">
        <w:rPr>
          <w:szCs w:val="24"/>
        </w:rPr>
        <w:t>DPT and DSTs are expressions of countries</w:t>
      </w:r>
      <w:r w:rsidR="0013476B">
        <w:rPr>
          <w:szCs w:val="24"/>
        </w:rPr>
        <w:t>’</w:t>
      </w:r>
      <w:r w:rsidRPr="00F96DED">
        <w:rPr>
          <w:szCs w:val="24"/>
        </w:rPr>
        <w:t xml:space="preserve"> dissatisfaction with the permanent establishment compromise and a greater focus on market</w:t>
      </w:r>
      <w:r w:rsidR="0013476B">
        <w:rPr>
          <w:szCs w:val="24"/>
        </w:rPr>
        <w:t>-</w:t>
      </w:r>
      <w:r w:rsidRPr="00F96DED">
        <w:rPr>
          <w:szCs w:val="24"/>
        </w:rPr>
        <w:t xml:space="preserve">based sourcing.  Pillar I bears a close resemblance to States’ WWCR regimes, with the application of a single factor sales apportionment </w:t>
      </w:r>
      <w:r w:rsidR="0013476B">
        <w:rPr>
          <w:szCs w:val="24"/>
        </w:rPr>
        <w:t xml:space="preserve">method </w:t>
      </w:r>
      <w:r w:rsidRPr="00F96DED">
        <w:rPr>
          <w:szCs w:val="24"/>
        </w:rPr>
        <w:t xml:space="preserve">to a share of the income of large multinational corporations.  Pillar I also introduces a nexus threshold that would permit market </w:t>
      </w:r>
      <w:r w:rsidR="0013476B">
        <w:rPr>
          <w:szCs w:val="24"/>
        </w:rPr>
        <w:t>jurisdictions</w:t>
      </w:r>
      <w:r w:rsidR="0013476B" w:rsidRPr="00F96DED">
        <w:rPr>
          <w:szCs w:val="24"/>
        </w:rPr>
        <w:t xml:space="preserve"> </w:t>
      </w:r>
      <w:r w:rsidRPr="00F96DED">
        <w:rPr>
          <w:szCs w:val="24"/>
        </w:rPr>
        <w:t>to participate in the Pillar I apportionment.</w:t>
      </w:r>
    </w:p>
    <w:p w14:paraId="04EACC09" w14:textId="77777777" w:rsidR="00F96DED" w:rsidRPr="00F96DED" w:rsidRDefault="00F96DED" w:rsidP="00F96DED">
      <w:pPr>
        <w:jc w:val="both"/>
        <w:rPr>
          <w:szCs w:val="24"/>
        </w:rPr>
      </w:pPr>
    </w:p>
    <w:p w14:paraId="3EA236AC" w14:textId="3D7F6D76" w:rsidR="00F96DED" w:rsidRPr="00F96DED" w:rsidRDefault="00F96DED" w:rsidP="00F96DED">
      <w:pPr>
        <w:jc w:val="both"/>
        <w:rPr>
          <w:szCs w:val="24"/>
        </w:rPr>
      </w:pPr>
      <w:r w:rsidRPr="00F96DED">
        <w:rPr>
          <w:szCs w:val="24"/>
        </w:rPr>
        <w:t>These trends are all one</w:t>
      </w:r>
      <w:r w:rsidR="0050313C">
        <w:rPr>
          <w:szCs w:val="24"/>
        </w:rPr>
        <w:t>-</w:t>
      </w:r>
      <w:r w:rsidRPr="00F96DED">
        <w:rPr>
          <w:szCs w:val="24"/>
        </w:rPr>
        <w:t xml:space="preserve">sided, with more taxing rights allocated to source (market) </w:t>
      </w:r>
      <w:r w:rsidR="0013476B">
        <w:rPr>
          <w:szCs w:val="24"/>
        </w:rPr>
        <w:t>jurisdictions</w:t>
      </w:r>
      <w:r w:rsidRPr="00F96DED">
        <w:rPr>
          <w:szCs w:val="24"/>
        </w:rPr>
        <w:t>.  The international community, however, has not been happy with the proliferation of unilateral measure</w:t>
      </w:r>
      <w:r w:rsidR="0013476B">
        <w:rPr>
          <w:szCs w:val="24"/>
        </w:rPr>
        <w:t>s</w:t>
      </w:r>
      <w:r w:rsidRPr="00F96DED">
        <w:rPr>
          <w:szCs w:val="24"/>
        </w:rPr>
        <w:t xml:space="preserve"> and ha</w:t>
      </w:r>
      <w:r w:rsidR="0013476B">
        <w:rPr>
          <w:szCs w:val="24"/>
        </w:rPr>
        <w:t>s</w:t>
      </w:r>
      <w:r w:rsidRPr="00F96DED">
        <w:rPr>
          <w:szCs w:val="24"/>
        </w:rPr>
        <w:t xml:space="preserve"> pursued an alternative trajectory through a two-pillar solution.  Pillar I, if countries accept it, raises no fundamental issues as it would only come into effect through the proposed </w:t>
      </w:r>
      <w:r w:rsidR="0013476B">
        <w:rPr>
          <w:szCs w:val="24"/>
        </w:rPr>
        <w:t>multilateral convention</w:t>
      </w:r>
      <w:r w:rsidRPr="00F96DED">
        <w:rPr>
          <w:szCs w:val="24"/>
        </w:rPr>
        <w:t>.  Pillar II, which would be implemented through unilateral measures, began and was advertised as a component of the two-pillar solution that worked within the current framework of international taxation and did not require any revisions to the agreements countries already had in place.  We have expressed serious doubt about whether that is the case and whether</w:t>
      </w:r>
      <w:r w:rsidR="0013476B">
        <w:rPr>
          <w:szCs w:val="24"/>
        </w:rPr>
        <w:t>,</w:t>
      </w:r>
      <w:r w:rsidRPr="00F96DED">
        <w:rPr>
          <w:szCs w:val="24"/>
        </w:rPr>
        <w:t xml:space="preserve"> in general</w:t>
      </w:r>
      <w:r w:rsidR="0013476B">
        <w:rPr>
          <w:szCs w:val="24"/>
        </w:rPr>
        <w:t>,</w:t>
      </w:r>
      <w:r w:rsidRPr="00F96DED">
        <w:rPr>
          <w:szCs w:val="24"/>
        </w:rPr>
        <w:t xml:space="preserve"> countries have successfully outmaneuvered their treaty obligations with </w:t>
      </w:r>
      <w:bookmarkStart w:id="14" w:name="_GoBack"/>
      <w:bookmarkEnd w:id="14"/>
      <w:r w:rsidRPr="00F96DED">
        <w:rPr>
          <w:szCs w:val="24"/>
        </w:rPr>
        <w:t xml:space="preserve">their Treaty Avoidance </w:t>
      </w:r>
      <w:r w:rsidR="00B73E71">
        <w:rPr>
          <w:szCs w:val="24"/>
        </w:rPr>
        <w:t>Regimes</w:t>
      </w:r>
      <w:r w:rsidRPr="00F96DED">
        <w:rPr>
          <w:szCs w:val="24"/>
        </w:rPr>
        <w:t xml:space="preserve">.  </w:t>
      </w:r>
    </w:p>
    <w:p w14:paraId="70184504" w14:textId="77777777" w:rsidR="00F96DED" w:rsidRPr="00F96DED" w:rsidRDefault="00F96DED" w:rsidP="00F96DED">
      <w:pPr>
        <w:jc w:val="both"/>
        <w:rPr>
          <w:szCs w:val="24"/>
        </w:rPr>
      </w:pPr>
    </w:p>
    <w:p w14:paraId="6E1CB046" w14:textId="1A30F83D" w:rsidR="00F96DED" w:rsidRPr="00F96DED" w:rsidRDefault="00F96DED" w:rsidP="00F96DED">
      <w:pPr>
        <w:jc w:val="both"/>
        <w:rPr>
          <w:szCs w:val="24"/>
        </w:rPr>
      </w:pPr>
      <w:r w:rsidRPr="00F96DED">
        <w:rPr>
          <w:szCs w:val="24"/>
        </w:rPr>
        <w:lastRenderedPageBreak/>
        <w:t xml:space="preserve">Setting that point aside, however, this </w:t>
      </w:r>
      <w:r w:rsidR="0013476B">
        <w:rPr>
          <w:szCs w:val="24"/>
        </w:rPr>
        <w:t>Article</w:t>
      </w:r>
      <w:r w:rsidR="0013476B" w:rsidRPr="00F96DED">
        <w:rPr>
          <w:szCs w:val="24"/>
        </w:rPr>
        <w:t xml:space="preserve"> </w:t>
      </w:r>
      <w:r w:rsidRPr="00F96DED">
        <w:rPr>
          <w:szCs w:val="24"/>
        </w:rPr>
        <w:t>asks, even if we can, should we?</w:t>
      </w:r>
      <w:r w:rsidR="0013476B">
        <w:rPr>
          <w:szCs w:val="24"/>
        </w:rPr>
        <w:t xml:space="preserve"> </w:t>
      </w:r>
      <w:r w:rsidRPr="00F96DED">
        <w:rPr>
          <w:szCs w:val="24"/>
        </w:rPr>
        <w:t xml:space="preserve"> If treaties can be circumvented with measures that do not violate treaties, but instead violate the fundamentals upon which the treaties were made, is that the right path forward?  UTPR shows no concern about any theory relating to a jurisdiction</w:t>
      </w:r>
      <w:r w:rsidR="0013476B">
        <w:rPr>
          <w:szCs w:val="24"/>
        </w:rPr>
        <w:t>’</w:t>
      </w:r>
      <w:r w:rsidRPr="00F96DED">
        <w:rPr>
          <w:szCs w:val="24"/>
        </w:rPr>
        <w:t xml:space="preserve">s rightful entitlement to tax income.  As we have discussed, UTPR </w:t>
      </w:r>
      <w:r w:rsidR="0050313C">
        <w:rPr>
          <w:szCs w:val="24"/>
        </w:rPr>
        <w:t>spurns</w:t>
      </w:r>
      <w:r w:rsidRPr="00F96DED">
        <w:rPr>
          <w:szCs w:val="24"/>
        </w:rPr>
        <w:t xml:space="preserve"> the fundamentals of source and residence as the basis upon which a jurisdiction can claim an entitlement to tax income.  In the CFC context, as</w:t>
      </w:r>
      <w:r w:rsidR="00113F92">
        <w:rPr>
          <w:szCs w:val="24"/>
        </w:rPr>
        <w:t xml:space="preserve"> also, for example,</w:t>
      </w:r>
      <w:r w:rsidRPr="00F96DED">
        <w:rPr>
          <w:szCs w:val="24"/>
        </w:rPr>
        <w:t xml:space="preserve"> in the flow-through context, the jurisdiction of a resident shareholder can claim the right to tax CFC income because the shareholder earns the income of the CFC indirectly through the CFC.  Th</w:t>
      </w:r>
      <w:r w:rsidR="00854E14">
        <w:rPr>
          <w:szCs w:val="24"/>
        </w:rPr>
        <w:t>e analysis</w:t>
      </w:r>
      <w:r w:rsidRPr="00F96DED">
        <w:rPr>
          <w:szCs w:val="24"/>
        </w:rPr>
        <w:t xml:space="preserve"> is the same for partnerships and other transparent entities.  The concept of jurisdiction to tax based on residence is not that a residence jurisdiction can levy tax in any amount it wants on a resident.  UTPR also runs contrary to the trend of deemphasizing the importance of permanent establishments in the digital age, turning them into deemed resident entities </w:t>
      </w:r>
      <w:r w:rsidR="00860E5C">
        <w:rPr>
          <w:szCs w:val="24"/>
        </w:rPr>
        <w:t>and</w:t>
      </w:r>
      <w:r w:rsidR="00860E5C" w:rsidRPr="00F96DED">
        <w:rPr>
          <w:szCs w:val="24"/>
        </w:rPr>
        <w:t xml:space="preserve"> </w:t>
      </w:r>
      <w:r w:rsidRPr="00F96DED">
        <w:rPr>
          <w:szCs w:val="24"/>
        </w:rPr>
        <w:t>grant</w:t>
      </w:r>
      <w:r w:rsidR="00860E5C">
        <w:rPr>
          <w:szCs w:val="24"/>
        </w:rPr>
        <w:t>ing</w:t>
      </w:r>
      <w:r w:rsidRPr="00F96DED">
        <w:rPr>
          <w:szCs w:val="24"/>
        </w:rPr>
        <w:t xml:space="preserve"> a jurisdiction free</w:t>
      </w:r>
      <w:r w:rsidR="00860E5C">
        <w:rPr>
          <w:szCs w:val="24"/>
        </w:rPr>
        <w:t xml:space="preserve"> </w:t>
      </w:r>
      <w:r w:rsidRPr="00F96DED">
        <w:rPr>
          <w:szCs w:val="24"/>
        </w:rPr>
        <w:t>rein to subject the permanent establishment’s owner to any amount of tax.  As can be shown from the mechanics of UTPR, it starts with the premise that an MNE Group needs to be taxed in every jurisdiction in which it operates at a jurisdictional rate of 15% percent or bear a tax burden equivalent to that outcome.  Every subsequent decision</w:t>
      </w:r>
      <w:r w:rsidR="00F5337A">
        <w:rPr>
          <w:szCs w:val="24"/>
        </w:rPr>
        <w:t>,</w:t>
      </w:r>
      <w:r w:rsidRPr="00F96DED">
        <w:rPr>
          <w:szCs w:val="24"/>
        </w:rPr>
        <w:t xml:space="preserve"> then</w:t>
      </w:r>
      <w:r w:rsidR="00F5337A">
        <w:rPr>
          <w:szCs w:val="24"/>
        </w:rPr>
        <w:t>,</w:t>
      </w:r>
      <w:r w:rsidRPr="00F96DED">
        <w:rPr>
          <w:szCs w:val="24"/>
        </w:rPr>
        <w:t xml:space="preserve"> about how such a tax should operate is to serve that outcome.  </w:t>
      </w:r>
    </w:p>
    <w:p w14:paraId="5DA35727" w14:textId="77777777" w:rsidR="00F96DED" w:rsidRPr="00F96DED" w:rsidRDefault="00F96DED" w:rsidP="00F96DED">
      <w:pPr>
        <w:jc w:val="both"/>
        <w:rPr>
          <w:szCs w:val="24"/>
        </w:rPr>
      </w:pPr>
    </w:p>
    <w:p w14:paraId="62490C01" w14:textId="57113833" w:rsidR="00F5337A" w:rsidRDefault="00F96DED" w:rsidP="00F96DED">
      <w:pPr>
        <w:jc w:val="both"/>
        <w:rPr>
          <w:szCs w:val="24"/>
        </w:rPr>
      </w:pPr>
      <w:r w:rsidRPr="00F96DED">
        <w:rPr>
          <w:szCs w:val="24"/>
        </w:rPr>
        <w:t>There are other ways forward.  Following a Source-Residence Renegotiation Approach, countries could revisit their treaties on a bilateral basis and renegotiate how the rights to tax services are divided between jurisdictions.  Instead of beginning with the premise that every cent of Top-Up Tax much be charged, it is possible to apportion rights</w:t>
      </w:r>
      <w:r w:rsidR="00F5337A">
        <w:rPr>
          <w:szCs w:val="24"/>
        </w:rPr>
        <w:t xml:space="preserve"> to collect Top-Up Tax</w:t>
      </w:r>
      <w:r w:rsidRPr="00F96DED">
        <w:rPr>
          <w:szCs w:val="24"/>
        </w:rPr>
        <w:t xml:space="preserve"> between jurisdictions in a manner that still would prevent a perceived danger that low</w:t>
      </w:r>
      <w:r w:rsidR="00F5337A">
        <w:rPr>
          <w:szCs w:val="24"/>
        </w:rPr>
        <w:t>-</w:t>
      </w:r>
      <w:r w:rsidRPr="00F96DED">
        <w:rPr>
          <w:szCs w:val="24"/>
        </w:rPr>
        <w:t>tax jurisdictions pose to high</w:t>
      </w:r>
      <w:r w:rsidR="00F5337A">
        <w:rPr>
          <w:szCs w:val="24"/>
        </w:rPr>
        <w:t>-</w:t>
      </w:r>
      <w:r w:rsidRPr="00F96DED">
        <w:rPr>
          <w:szCs w:val="24"/>
        </w:rPr>
        <w:t xml:space="preserve">tax jurisdictions.  </w:t>
      </w:r>
    </w:p>
    <w:p w14:paraId="706BA5DC" w14:textId="77777777" w:rsidR="00F5337A" w:rsidRDefault="00F5337A" w:rsidP="00F96DED">
      <w:pPr>
        <w:jc w:val="both"/>
        <w:rPr>
          <w:szCs w:val="24"/>
        </w:rPr>
      </w:pPr>
    </w:p>
    <w:p w14:paraId="5E535865" w14:textId="4AA5DE89" w:rsidR="00F96DED" w:rsidRPr="00F96DED" w:rsidRDefault="00F96DED" w:rsidP="00F96DED">
      <w:pPr>
        <w:jc w:val="both"/>
        <w:rPr>
          <w:szCs w:val="24"/>
        </w:rPr>
      </w:pPr>
      <w:r w:rsidRPr="00F96DED">
        <w:rPr>
          <w:szCs w:val="24"/>
        </w:rPr>
        <w:t>Concepts in tax policy and their manifestation in countries’ income tax laws have provided a framework that has allowed countries to harmonize their international income tax systems since the compromise of the League of Nations</w:t>
      </w:r>
      <w:r w:rsidR="00F5337A">
        <w:rPr>
          <w:szCs w:val="24"/>
        </w:rPr>
        <w:t xml:space="preserve"> nearly a century ago</w:t>
      </w:r>
      <w:r w:rsidRPr="00F96DED">
        <w:rPr>
          <w:szCs w:val="24"/>
        </w:rPr>
        <w:t>.  Perhaps policy frameworks are obsolete in an Inclusive Framework age, when international consensus can be reevaluated and updated month-to-month.  Perhaps it is not concepts like permanent establishment that are becoming become obsolete, but instead their need to have a definitive role and policy boundary is becoming obsolete.  The issue to consider</w:t>
      </w:r>
      <w:r w:rsidR="00F5337A">
        <w:rPr>
          <w:szCs w:val="24"/>
        </w:rPr>
        <w:t>,</w:t>
      </w:r>
      <w:r w:rsidRPr="00F96DED">
        <w:rPr>
          <w:szCs w:val="24"/>
        </w:rPr>
        <w:t xml:space="preserve"> though</w:t>
      </w:r>
      <w:r w:rsidR="00F5337A">
        <w:rPr>
          <w:szCs w:val="24"/>
        </w:rPr>
        <w:t>,</w:t>
      </w:r>
      <w:r w:rsidRPr="00F96DED">
        <w:rPr>
          <w:szCs w:val="24"/>
        </w:rPr>
        <w:t xml:space="preserve"> is, if constant real-time consensus ever breaks down, will any framework still exist for countries to establish mutual expectations and understanding</w:t>
      </w:r>
      <w:r w:rsidR="00F5337A">
        <w:rPr>
          <w:szCs w:val="24"/>
        </w:rPr>
        <w:t>?</w:t>
      </w:r>
    </w:p>
    <w:p w14:paraId="06F9A4D2" w14:textId="4DB2D11A" w:rsidR="00F0221B" w:rsidRDefault="00F0221B" w:rsidP="00F96DED">
      <w:pPr>
        <w:jc w:val="both"/>
      </w:pPr>
    </w:p>
    <w:sectPr w:rsidR="00F022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BBD8" w14:textId="77777777" w:rsidR="009F032D" w:rsidRDefault="009F032D" w:rsidP="0082787B">
      <w:r>
        <w:separator/>
      </w:r>
    </w:p>
  </w:endnote>
  <w:endnote w:type="continuationSeparator" w:id="0">
    <w:p w14:paraId="3528F489" w14:textId="77777777" w:rsidR="009F032D" w:rsidRDefault="009F032D" w:rsidP="0082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EngravrsRoman BT">
    <w:charset w:val="00"/>
    <w:family w:val="roman"/>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71931"/>
      <w:docPartObj>
        <w:docPartGallery w:val="Page Numbers (Bottom of Page)"/>
        <w:docPartUnique/>
      </w:docPartObj>
    </w:sdtPr>
    <w:sdtEndPr>
      <w:rPr>
        <w:noProof/>
      </w:rPr>
    </w:sdtEndPr>
    <w:sdtContent>
      <w:p w14:paraId="3C359061" w14:textId="1B31F13B" w:rsidR="00794C7D" w:rsidRDefault="00794C7D">
        <w:pPr>
          <w:pStyle w:val="Footer"/>
          <w:jc w:val="right"/>
        </w:pPr>
        <w:r>
          <w:fldChar w:fldCharType="begin"/>
        </w:r>
        <w:r>
          <w:instrText xml:space="preserve"> PAGE   \* MERGEFORMAT </w:instrText>
        </w:r>
        <w:r>
          <w:fldChar w:fldCharType="separate"/>
        </w:r>
        <w:r w:rsidR="00A87132">
          <w:rPr>
            <w:noProof/>
          </w:rPr>
          <w:t>45</w:t>
        </w:r>
        <w:r>
          <w:rPr>
            <w:noProof/>
          </w:rPr>
          <w:fldChar w:fldCharType="end"/>
        </w:r>
      </w:p>
    </w:sdtContent>
  </w:sdt>
  <w:p w14:paraId="002E3371" w14:textId="77777777" w:rsidR="00794C7D" w:rsidRDefault="0079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C8CA2" w14:textId="77777777" w:rsidR="009F032D" w:rsidRDefault="009F032D" w:rsidP="0082787B">
      <w:r>
        <w:separator/>
      </w:r>
    </w:p>
  </w:footnote>
  <w:footnote w:type="continuationSeparator" w:id="0">
    <w:p w14:paraId="6FAC9EC8" w14:textId="77777777" w:rsidR="009F032D" w:rsidRDefault="009F032D" w:rsidP="0082787B">
      <w:r>
        <w:continuationSeparator/>
      </w:r>
    </w:p>
  </w:footnote>
  <w:footnote w:id="1">
    <w:p w14:paraId="6D862BBB" w14:textId="0001A3F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Michael J. Graetz &amp; Michael M. O’Hear, </w:t>
      </w:r>
      <w:r w:rsidRPr="00A62B70">
        <w:rPr>
          <w:rFonts w:asciiTheme="minorHAnsi" w:hAnsiTheme="minorHAnsi" w:cstheme="minorHAnsi"/>
          <w:i/>
          <w:sz w:val="18"/>
          <w:szCs w:val="18"/>
        </w:rPr>
        <w:t>The “Original Intent” of U.S. International Taxation</w:t>
      </w:r>
      <w:r w:rsidRPr="00A62B70">
        <w:rPr>
          <w:rFonts w:asciiTheme="minorHAnsi" w:hAnsiTheme="minorHAnsi" w:cstheme="minorHAnsi"/>
          <w:sz w:val="18"/>
          <w:szCs w:val="18"/>
        </w:rPr>
        <w:t xml:space="preserve">, 46 </w:t>
      </w:r>
      <w:r w:rsidRPr="00A62B70">
        <w:rPr>
          <w:rFonts w:asciiTheme="minorHAnsi" w:hAnsiTheme="minorHAnsi" w:cstheme="minorHAnsi"/>
          <w:smallCaps/>
          <w:sz w:val="18"/>
          <w:szCs w:val="18"/>
        </w:rPr>
        <w:t>Duke L. J.</w:t>
      </w:r>
      <w:r w:rsidRPr="00A62B70">
        <w:rPr>
          <w:rFonts w:asciiTheme="minorHAnsi" w:hAnsiTheme="minorHAnsi" w:cstheme="minorHAnsi"/>
          <w:sz w:val="18"/>
          <w:szCs w:val="18"/>
        </w:rPr>
        <w:t xml:space="preserve"> 1021, 1026 (1997); Michael J. Graetz, </w:t>
      </w:r>
      <w:r w:rsidRPr="00A62B70">
        <w:rPr>
          <w:rFonts w:asciiTheme="minorHAnsi" w:hAnsiTheme="minorHAnsi" w:cstheme="minorHAnsi"/>
          <w:i/>
          <w:sz w:val="18"/>
          <w:szCs w:val="18"/>
        </w:rPr>
        <w:t>Taxing International Income: Inadequate Principles, Outdated Concepts, and Unsatisfactory Policies</w:t>
      </w:r>
      <w:r w:rsidRPr="00A62B70">
        <w:rPr>
          <w:rFonts w:asciiTheme="minorHAnsi" w:hAnsiTheme="minorHAnsi" w:cstheme="minorHAnsi"/>
          <w:sz w:val="18"/>
          <w:szCs w:val="18"/>
        </w:rPr>
        <w:t xml:space="preserve">, 6 </w:t>
      </w:r>
      <w:r w:rsidRPr="00A62B70">
        <w:rPr>
          <w:rFonts w:asciiTheme="minorHAnsi" w:hAnsiTheme="minorHAnsi" w:cstheme="minorHAnsi"/>
          <w:smallCaps/>
          <w:sz w:val="18"/>
          <w:szCs w:val="18"/>
        </w:rPr>
        <w:t xml:space="preserve">Brook. J. Int’l L. </w:t>
      </w:r>
      <w:r w:rsidRPr="00A62B70">
        <w:rPr>
          <w:rFonts w:asciiTheme="minorHAnsi" w:hAnsiTheme="minorHAnsi" w:cstheme="minorHAnsi"/>
          <w:sz w:val="18"/>
          <w:szCs w:val="18"/>
        </w:rPr>
        <w:t xml:space="preserve">1357 (2001); Stephen E. Shay et al., </w:t>
      </w:r>
      <w:r w:rsidRPr="00A62B70">
        <w:rPr>
          <w:rFonts w:asciiTheme="minorHAnsi" w:hAnsiTheme="minorHAnsi" w:cstheme="minorHAnsi"/>
          <w:i/>
          <w:sz w:val="18"/>
          <w:szCs w:val="18"/>
        </w:rPr>
        <w:t>The David R. Tillinghast Lecture – What’s Source Got to Do with It - Source Rules and U.S. International Taxation</w:t>
      </w:r>
      <w:r w:rsidRPr="00A62B70">
        <w:rPr>
          <w:rFonts w:asciiTheme="minorHAnsi" w:hAnsiTheme="minorHAnsi" w:cstheme="minorHAnsi"/>
          <w:sz w:val="18"/>
          <w:szCs w:val="18"/>
        </w:rPr>
        <w:t xml:space="preserve">, 56 </w:t>
      </w:r>
      <w:r w:rsidRPr="00A62B70">
        <w:rPr>
          <w:rFonts w:asciiTheme="minorHAnsi" w:hAnsiTheme="minorHAnsi" w:cstheme="minorHAnsi"/>
          <w:smallCaps/>
          <w:sz w:val="18"/>
          <w:szCs w:val="18"/>
        </w:rPr>
        <w:t xml:space="preserve">Tax L. Rev. </w:t>
      </w:r>
      <w:r w:rsidRPr="00A62B70">
        <w:rPr>
          <w:rFonts w:asciiTheme="minorHAnsi" w:hAnsiTheme="minorHAnsi" w:cstheme="minorHAnsi"/>
          <w:sz w:val="18"/>
          <w:szCs w:val="18"/>
        </w:rPr>
        <w:t xml:space="preserve">81 (2002); </w:t>
      </w:r>
      <w:r w:rsidRPr="00A62B70">
        <w:rPr>
          <w:rFonts w:asciiTheme="minorHAnsi" w:hAnsiTheme="minorHAnsi" w:cstheme="minorHAnsi"/>
          <w:smallCaps/>
          <w:sz w:val="18"/>
          <w:szCs w:val="18"/>
        </w:rPr>
        <w:t xml:space="preserve">U.S. Treasury Dep’t, Selected Tax Policy Implications of Global Electronic Commerce, </w:t>
      </w:r>
      <w:r w:rsidRPr="00A62B70">
        <w:rPr>
          <w:rFonts w:asciiTheme="minorHAnsi" w:hAnsiTheme="minorHAnsi" w:cstheme="minorHAnsi"/>
          <w:sz w:val="18"/>
          <w:szCs w:val="18"/>
        </w:rPr>
        <w:t xml:space="preserve">Section 7.1.5 (Nov. 1996), </w:t>
      </w:r>
      <w:hyperlink r:id="rId1" w:history="1">
        <w:r w:rsidRPr="00A62B70">
          <w:rPr>
            <w:rStyle w:val="Hyperlink"/>
            <w:rFonts w:asciiTheme="minorHAnsi" w:hAnsiTheme="minorHAnsi" w:cstheme="minorHAnsi"/>
            <w:sz w:val="18"/>
            <w:szCs w:val="18"/>
          </w:rPr>
          <w:t>https://home.treasury.gov/system/files/131/Report-Global-Electronic-Commerce-1996.pdf</w:t>
        </w:r>
      </w:hyperlink>
      <w:r w:rsidRPr="00A62B70">
        <w:rPr>
          <w:rFonts w:asciiTheme="minorHAnsi" w:hAnsiTheme="minorHAnsi" w:cstheme="minorHAnsi"/>
          <w:sz w:val="18"/>
          <w:szCs w:val="18"/>
        </w:rPr>
        <w:t xml:space="preserve"> [hereinafter 1996 Treasury Report]. </w:t>
      </w:r>
    </w:p>
  </w:footnote>
  <w:footnote w:id="2">
    <w:p w14:paraId="4F488A89" w14:textId="443502E8"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Graetz &amp; O’Hear, </w:t>
      </w:r>
      <w:r w:rsidRPr="00A62B70">
        <w:rPr>
          <w:rFonts w:asciiTheme="minorHAnsi" w:hAnsiTheme="minorHAnsi" w:cstheme="minorHAnsi"/>
          <w:i/>
          <w:sz w:val="18"/>
          <w:szCs w:val="18"/>
        </w:rPr>
        <w:t>supra</w:t>
      </w:r>
      <w:r w:rsidRPr="00A62B70">
        <w:rPr>
          <w:rFonts w:asciiTheme="minorHAnsi" w:hAnsiTheme="minorHAnsi" w:cstheme="minorHAnsi"/>
          <w:sz w:val="18"/>
          <w:szCs w:val="18"/>
        </w:rPr>
        <w:t xml:space="preserve"> 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_Ref148887577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1033. </w:t>
      </w:r>
    </w:p>
  </w:footnote>
  <w:footnote w:id="3">
    <w:p w14:paraId="2CF78F4D" w14:textId="1C5104A9"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1033–35. </w:t>
      </w:r>
    </w:p>
  </w:footnote>
  <w:footnote w:id="4">
    <w:p w14:paraId="3041352C" w14:textId="75720AD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 xml:space="preserve">Reuven S. Avi-Yonah, </w:t>
      </w:r>
      <w:r w:rsidRPr="00A62B70">
        <w:rPr>
          <w:rFonts w:asciiTheme="minorHAnsi" w:hAnsiTheme="minorHAnsi" w:cstheme="minorHAnsi"/>
          <w:i/>
          <w:sz w:val="18"/>
          <w:szCs w:val="18"/>
        </w:rPr>
        <w:t>The Structure of International Taxation: A Proposal for Simplification</w:t>
      </w:r>
      <w:r w:rsidRPr="00A62B70">
        <w:rPr>
          <w:rFonts w:asciiTheme="minorHAnsi" w:hAnsiTheme="minorHAnsi" w:cstheme="minorHAnsi"/>
          <w:sz w:val="18"/>
          <w:szCs w:val="18"/>
        </w:rPr>
        <w:t xml:space="preserve">, 74 </w:t>
      </w:r>
      <w:r w:rsidRPr="00A62B70">
        <w:rPr>
          <w:rFonts w:asciiTheme="minorHAnsi" w:hAnsiTheme="minorHAnsi" w:cstheme="minorHAnsi"/>
          <w:smallCaps/>
          <w:sz w:val="18"/>
          <w:szCs w:val="18"/>
        </w:rPr>
        <w:t>Tex. L. Rev.</w:t>
      </w:r>
      <w:r w:rsidRPr="00A62B70">
        <w:rPr>
          <w:rFonts w:asciiTheme="minorHAnsi" w:hAnsiTheme="minorHAnsi" w:cstheme="minorHAnsi"/>
          <w:sz w:val="18"/>
          <w:szCs w:val="18"/>
        </w:rPr>
        <w:t xml:space="preserve"> 1301, 1305–07 (1996).</w:t>
      </w:r>
    </w:p>
  </w:footnote>
  <w:footnote w:id="5">
    <w:p w14:paraId="50A1954D"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6">
    <w:p w14:paraId="61E98D47"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7">
    <w:p w14:paraId="57DDC29F" w14:textId="3BF5C2E8"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Graetz, supra 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_Ref148887577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1421. </w:t>
      </w:r>
    </w:p>
  </w:footnote>
  <w:footnote w:id="8">
    <w:p w14:paraId="718021D4"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9">
    <w:p w14:paraId="5B9EBA93" w14:textId="095DB813"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U.S. Model Income Tax Convention, art. 7(1) &amp; (2) (Feb. 17, 2016) [hereinafter U.S. Model Treaty]; OECD Model Tax Convention on Income and on Capital (Condensed Version), art. 7(1) &amp; (2) (Nov. 21, 2017) [hereinafter OECD Model Treaty].</w:t>
      </w:r>
    </w:p>
  </w:footnote>
  <w:footnote w:id="10">
    <w:p w14:paraId="73687D47"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Mitchell B. Carroll, </w:t>
      </w:r>
      <w:r w:rsidRPr="00A62B70">
        <w:rPr>
          <w:rFonts w:asciiTheme="minorHAnsi" w:hAnsiTheme="minorHAnsi" w:cstheme="minorHAnsi"/>
          <w:i/>
          <w:sz w:val="18"/>
          <w:szCs w:val="18"/>
        </w:rPr>
        <w:t>International Tax Law: Benefits for American Investors and Enterprises Abroad</w:t>
      </w:r>
      <w:r w:rsidRPr="00A62B70">
        <w:rPr>
          <w:rFonts w:asciiTheme="minorHAnsi" w:hAnsiTheme="minorHAnsi" w:cstheme="minorHAnsi"/>
          <w:sz w:val="18"/>
          <w:szCs w:val="18"/>
        </w:rPr>
        <w:t>, 2</w:t>
      </w:r>
      <w:r w:rsidRPr="00A62B70">
        <w:rPr>
          <w:rFonts w:asciiTheme="minorHAnsi" w:hAnsiTheme="minorHAnsi" w:cstheme="minorHAnsi"/>
          <w:smallCaps/>
          <w:sz w:val="18"/>
          <w:szCs w:val="18"/>
        </w:rPr>
        <w:t xml:space="preserve"> Int’l L. </w:t>
      </w:r>
      <w:r w:rsidRPr="00A62B70">
        <w:rPr>
          <w:rFonts w:asciiTheme="minorHAnsi" w:hAnsiTheme="minorHAnsi" w:cstheme="minorHAnsi"/>
          <w:sz w:val="18"/>
          <w:szCs w:val="18"/>
        </w:rPr>
        <w:t>692, 702–07 (1968).</w:t>
      </w:r>
    </w:p>
  </w:footnote>
  <w:footnote w:id="11">
    <w:p w14:paraId="0A9B11DF" w14:textId="4EFE4F10"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Graetz &amp; O’Hear, supra 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_Ref148887577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at 1088.</w:t>
      </w:r>
    </w:p>
  </w:footnote>
  <w:footnote w:id="12">
    <w:p w14:paraId="7A093BE6" w14:textId="6ACED3B0"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1107.</w:t>
      </w:r>
    </w:p>
  </w:footnote>
  <w:footnote w:id="13">
    <w:p w14:paraId="4F4BE6FB" w14:textId="6A959C00"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OECD Model Treaty, Commentaries on the Article of the Model Tax Conversion, art. 1, para. 3, cmts. 17–19 [hereinafter OECD Treaty Commentary]; 1996 Treasury Report, </w:t>
      </w:r>
      <w:r w:rsidRPr="00A62B70">
        <w:rPr>
          <w:rFonts w:asciiTheme="minorHAnsi" w:hAnsiTheme="minorHAnsi" w:cstheme="minorHAnsi"/>
          <w:i/>
          <w:sz w:val="18"/>
          <w:szCs w:val="18"/>
        </w:rPr>
        <w:t>supra</w:t>
      </w:r>
      <w:r w:rsidRPr="00A62B70">
        <w:rPr>
          <w:rFonts w:asciiTheme="minorHAnsi" w:hAnsiTheme="minorHAnsi" w:cstheme="minorHAnsi"/>
          <w:sz w:val="18"/>
          <w:szCs w:val="18"/>
        </w:rPr>
        <w:t xml:space="preserve"> 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_Ref148887577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Sections 7.1.4 &amp; 7.1.5. </w:t>
      </w:r>
    </w:p>
  </w:footnote>
  <w:footnote w:id="14">
    <w:p w14:paraId="2DE911E9"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[Austria Treaty, Belgium Treaty, Finland Treaty, France Treaty].</w:t>
      </w:r>
    </w:p>
  </w:footnote>
  <w:footnote w:id="15">
    <w:p w14:paraId="6160F29B"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[Australia Treaty, Bulgaria Treaty, China Treaty, Czech Republic Treaty].</w:t>
      </w:r>
    </w:p>
  </w:footnote>
  <w:footnote w:id="16">
    <w:p w14:paraId="5F4811C7" w14:textId="52814E8B"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[Israel Treaty] (providing a 15% ceiling for patent royalties and a 10% ceiling for copyright royalties). </w:t>
      </w:r>
    </w:p>
  </w:footnote>
  <w:footnote w:id="17">
    <w:p w14:paraId="6ADEE797"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[Greece Treaty, Hungary Treaty, Poland Treaty].</w:t>
      </w:r>
    </w:p>
  </w:footnote>
  <w:footnote w:id="18">
    <w:p w14:paraId="04678611"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[China Treaty, Indonesia Treaty, South Korea Treaty].</w:t>
      </w:r>
    </w:p>
  </w:footnote>
  <w:footnote w:id="19">
    <w:p w14:paraId="128EF78C"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[Australia Treaty, Belgium Treaty].</w:t>
      </w:r>
    </w:p>
  </w:footnote>
  <w:footnote w:id="20">
    <w:p w14:paraId="11BB6046"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[Need cite]. </w:t>
      </w:r>
    </w:p>
  </w:footnote>
  <w:footnote w:id="21">
    <w:p w14:paraId="5C690990" w14:textId="68E3C2C4"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7; U.S.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7. </w:t>
      </w:r>
    </w:p>
  </w:footnote>
  <w:footnote w:id="22">
    <w:p w14:paraId="44A0B2A1" w14:textId="45AF1CC3"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Thomas S. Adams, Interstate and International Double Taxation, in Lectures on Taxation</w:t>
      </w:r>
      <w:r w:rsidRPr="00A62B70">
        <w:rPr>
          <w:rFonts w:asciiTheme="minorHAnsi" w:hAnsiTheme="minorHAnsi" w:cstheme="minorHAnsi"/>
          <w:sz w:val="18"/>
          <w:szCs w:val="18"/>
        </w:rPr>
        <w:t xml:space="preserve"> 101, 108 (Roswell Magill ed., 1932).</w:t>
      </w:r>
    </w:p>
  </w:footnote>
  <w:footnote w:id="23">
    <w:p w14:paraId="4B56F3F5" w14:textId="6DA39FE2" w:rsidR="00794C7D" w:rsidRPr="000078AF" w:rsidRDefault="00794C7D" w:rsidP="000078AF">
      <w:pPr>
        <w:pStyle w:val="FootnoteText"/>
        <w:spacing w:before="120"/>
        <w:rPr>
          <w:sz w:val="18"/>
          <w:szCs w:val="18"/>
        </w:rPr>
      </w:pPr>
      <w:r w:rsidRPr="000078AF">
        <w:rPr>
          <w:rStyle w:val="FootnoteReference"/>
          <w:sz w:val="18"/>
          <w:szCs w:val="18"/>
        </w:rPr>
        <w:footnoteRef/>
      </w:r>
      <w:r w:rsidRPr="000078AF">
        <w:rPr>
          <w:sz w:val="18"/>
          <w:szCs w:val="18"/>
        </w:rPr>
        <w:t xml:space="preserve"> </w:t>
      </w:r>
      <w:r w:rsidRPr="000078AF">
        <w:rPr>
          <w:rFonts w:asciiTheme="minorHAnsi" w:hAnsiTheme="minorHAnsi" w:cstheme="minorHAnsi"/>
          <w:sz w:val="18"/>
          <w:szCs w:val="18"/>
        </w:rPr>
        <w:t xml:space="preserve">U.S. Model Treaty, </w:t>
      </w:r>
      <w:r w:rsidRPr="000078AF">
        <w:rPr>
          <w:rFonts w:asciiTheme="minorHAnsi" w:hAnsiTheme="minorHAnsi" w:cstheme="minorHAnsi"/>
          <w:i/>
          <w:sz w:val="18"/>
          <w:szCs w:val="18"/>
        </w:rPr>
        <w:t xml:space="preserve">supra </w:t>
      </w:r>
      <w:r w:rsidRPr="000078AF">
        <w:rPr>
          <w:rFonts w:asciiTheme="minorHAnsi" w:hAnsiTheme="minorHAnsi" w:cstheme="minorHAnsi"/>
          <w:sz w:val="18"/>
          <w:szCs w:val="18"/>
        </w:rPr>
        <w:t xml:space="preserve">note </w:t>
      </w:r>
      <w:r w:rsidRPr="000078AF">
        <w:rPr>
          <w:rFonts w:asciiTheme="minorHAnsi" w:hAnsiTheme="minorHAnsi" w:cstheme="minorHAnsi"/>
          <w:sz w:val="18"/>
          <w:szCs w:val="18"/>
        </w:rPr>
        <w:fldChar w:fldCharType="begin"/>
      </w:r>
      <w:r w:rsidRPr="000078AF">
        <w:rPr>
          <w:rFonts w:asciiTheme="minorHAnsi" w:hAnsiTheme="minorHAnsi" w:cstheme="minorHAnsi"/>
          <w:sz w:val="18"/>
          <w:szCs w:val="18"/>
        </w:rPr>
        <w:instrText xml:space="preserve"> NOTEREF _Ref149430491 \h  \* MERGEFORMAT </w:instrText>
      </w:r>
      <w:r w:rsidRPr="000078AF">
        <w:rPr>
          <w:rFonts w:asciiTheme="minorHAnsi" w:hAnsiTheme="minorHAnsi" w:cstheme="minorHAnsi"/>
          <w:sz w:val="18"/>
          <w:szCs w:val="18"/>
        </w:rPr>
      </w:r>
      <w:r w:rsidRPr="000078AF">
        <w:rPr>
          <w:rFonts w:asciiTheme="minorHAnsi" w:hAnsiTheme="minorHAnsi" w:cstheme="minorHAnsi"/>
          <w:sz w:val="18"/>
          <w:szCs w:val="18"/>
        </w:rPr>
        <w:fldChar w:fldCharType="separate"/>
      </w:r>
      <w:r w:rsidRPr="000078AF">
        <w:rPr>
          <w:rFonts w:asciiTheme="minorHAnsi" w:hAnsiTheme="minorHAnsi" w:cstheme="minorHAnsi"/>
          <w:sz w:val="18"/>
          <w:szCs w:val="18"/>
        </w:rPr>
        <w:t>9</w:t>
      </w:r>
      <w:r w:rsidRPr="000078AF">
        <w:rPr>
          <w:rFonts w:asciiTheme="minorHAnsi" w:hAnsiTheme="minorHAnsi" w:cstheme="minorHAnsi"/>
          <w:sz w:val="18"/>
          <w:szCs w:val="18"/>
        </w:rPr>
        <w:fldChar w:fldCharType="end"/>
      </w:r>
      <w:r w:rsidRPr="000078AF">
        <w:rPr>
          <w:rFonts w:asciiTheme="minorHAnsi" w:hAnsiTheme="minorHAnsi" w:cstheme="minorHAnsi"/>
          <w:sz w:val="18"/>
          <w:szCs w:val="18"/>
        </w:rPr>
        <w:t>, art. 7(2).</w:t>
      </w:r>
    </w:p>
  </w:footnote>
  <w:footnote w:id="24">
    <w:p w14:paraId="63F191BE" w14:textId="04B3B9F1"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7, para. 1 &amp; 2. </w:t>
      </w:r>
    </w:p>
  </w:footnote>
  <w:footnote w:id="25">
    <w:p w14:paraId="45711C43" w14:textId="1F9E4D74"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 xml:space="preserve">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5, para. 1–4; U.S.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5, para. 1–4.</w:t>
      </w:r>
    </w:p>
  </w:footnote>
  <w:footnote w:id="26">
    <w:p w14:paraId="1F5601F2" w14:textId="14C32D80"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 xml:space="preserve">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5, para. 5; U.S.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5, para. 5.</w:t>
      </w:r>
    </w:p>
  </w:footnote>
  <w:footnote w:id="27">
    <w:p w14:paraId="41955EF4" w14:textId="2A50D2B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 xml:space="preserve">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5, para. 5; U.S.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5, para. 5.</w:t>
      </w:r>
    </w:p>
  </w:footnote>
  <w:footnote w:id="28">
    <w:p w14:paraId="1A689FC5" w14:textId="1FBB7EA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 xml:space="preserve">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5, para. 6; U.S.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5, para. 5.</w:t>
      </w:r>
    </w:p>
  </w:footnote>
  <w:footnote w:id="29">
    <w:p w14:paraId="3AC5F5F9" w14:textId="6A56D4D6"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 xml:space="preserve">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1, para. 3; U.S. Model Treaty,</w:t>
      </w:r>
      <w:r w:rsidRPr="00A62B70">
        <w:rPr>
          <w:rFonts w:asciiTheme="minorHAnsi" w:hAnsiTheme="minorHAnsi" w:cstheme="minorHAnsi"/>
          <w:i/>
          <w:sz w:val="18"/>
          <w:szCs w:val="18"/>
        </w:rPr>
        <w:t xml:space="preserve"> 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1, para. 4.</w:t>
      </w:r>
    </w:p>
  </w:footnote>
  <w:footnote w:id="30">
    <w:p w14:paraId="577A2E24" w14:textId="202FF414"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Treaty Commentary,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_Ref149430437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1, para. 3, cmts. 17–19. </w:t>
      </w:r>
    </w:p>
  </w:footnote>
  <w:footnote w:id="31">
    <w:p w14:paraId="05490F5F" w14:textId="18739B3F"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United States Model Technical Explanation Accompanying the United States Model Income Tax Convention of November 15, 2006, art. 1, para. 4. </w:t>
      </w:r>
    </w:p>
  </w:footnote>
  <w:footnote w:id="32">
    <w:p w14:paraId="5EDF5F64" w14:textId="6AB3710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Treaty Commentary,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_Ref149430437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1, para. 3, cmts. 17–19; </w:t>
      </w:r>
      <w:r w:rsidRPr="00A62B70">
        <w:rPr>
          <w:rFonts w:asciiTheme="minorHAnsi" w:hAnsiTheme="minorHAnsi" w:cstheme="minorHAnsi"/>
          <w:i/>
          <w:sz w:val="18"/>
          <w:szCs w:val="18"/>
        </w:rPr>
        <w:t>see also id</w:t>
      </w:r>
      <w:r w:rsidRPr="00A62B70">
        <w:rPr>
          <w:rFonts w:asciiTheme="minorHAnsi" w:hAnsiTheme="minorHAnsi" w:cstheme="minorHAnsi"/>
          <w:sz w:val="18"/>
          <w:szCs w:val="18"/>
        </w:rPr>
        <w:t xml:space="preserve">. art. 1, cmt. 81. </w:t>
      </w:r>
    </w:p>
  </w:footnote>
  <w:footnote w:id="33">
    <w:p w14:paraId="3A5B5BCA" w14:textId="5EF7B09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OECD Model Treaty, art. 1, para. 3 (excluding art. 23 (Relief from Double Taxation) from the saving clause); U.S. Model Treaty, art. 1, para. 5a (excluding art. 23 (Relief from Double Taxation) from the saving clause).</w:t>
      </w:r>
    </w:p>
  </w:footnote>
  <w:footnote w:id="34">
    <w:p w14:paraId="5DDD33C4"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Style w:val="fontstyle01"/>
          <w:rFonts w:asciiTheme="minorHAnsi" w:hAnsiTheme="minorHAnsi" w:cstheme="minorHAnsi"/>
          <w:sz w:val="18"/>
          <w:szCs w:val="18"/>
        </w:rPr>
        <w:t>See, e.g.</w:t>
      </w:r>
      <w:r w:rsidRPr="00A62B70">
        <w:rPr>
          <w:rStyle w:val="fontstyle01"/>
          <w:rFonts w:asciiTheme="minorHAnsi" w:hAnsiTheme="minorHAnsi" w:cstheme="minorHAnsi"/>
          <w:i w:val="0"/>
          <w:sz w:val="18"/>
          <w:szCs w:val="18"/>
        </w:rPr>
        <w:t>,</w:t>
      </w:r>
      <w:r w:rsidRPr="00A62B70">
        <w:rPr>
          <w:rStyle w:val="fontstyle01"/>
          <w:rFonts w:asciiTheme="minorHAnsi" w:hAnsiTheme="minorHAnsi" w:cstheme="minorHAnsi"/>
          <w:sz w:val="18"/>
          <w:szCs w:val="18"/>
        </w:rPr>
        <w:t xml:space="preserve"> </w:t>
      </w:r>
      <w:r w:rsidRPr="00A62B70">
        <w:rPr>
          <w:rStyle w:val="fontstyle21"/>
          <w:rFonts w:asciiTheme="minorHAnsi" w:eastAsia="PMingLiU" w:hAnsiTheme="minorHAnsi" w:cstheme="minorHAnsi"/>
          <w:sz w:val="18"/>
          <w:szCs w:val="18"/>
        </w:rPr>
        <w:t xml:space="preserve">OECD Model Treaty, </w:t>
      </w:r>
      <w:r w:rsidRPr="00A62B70">
        <w:rPr>
          <w:rStyle w:val="fontstyle01"/>
          <w:rFonts w:asciiTheme="minorHAnsi" w:hAnsiTheme="minorHAnsi" w:cstheme="minorHAnsi"/>
          <w:i w:val="0"/>
          <w:sz w:val="18"/>
          <w:szCs w:val="18"/>
        </w:rPr>
        <w:t xml:space="preserve">art. </w:t>
      </w:r>
      <w:r w:rsidRPr="00A62B70">
        <w:rPr>
          <w:rStyle w:val="fontstyle21"/>
          <w:rFonts w:asciiTheme="minorHAnsi" w:eastAsia="PMingLiU" w:hAnsiTheme="minorHAnsi" w:cstheme="minorHAnsi"/>
          <w:sz w:val="18"/>
          <w:szCs w:val="18"/>
        </w:rPr>
        <w:t xml:space="preserve">23; U.S. Model Treaty, art. 23. </w:t>
      </w:r>
    </w:p>
  </w:footnote>
  <w:footnote w:id="35">
    <w:p w14:paraId="0A17C8D0" w14:textId="5F3EE5A6"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 901(a) (providing a foreign tax credit for foreign income taxes); 903(a) (providing a foreign tax credit for taxes in lieu of income taxes); 904(a) (limiting that availability of the foreign tax credit to foreign-source income). </w:t>
      </w:r>
    </w:p>
  </w:footnote>
  <w:footnote w:id="36">
    <w:p w14:paraId="4D7F8889"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 871 (limiting the taxation of a nonresident alien individual to U.S. source income, to the extent not effectively connected to a U.S. trade or business); 881(a) (same for foreign corporations); 1441(a) (limiting withholding on payments a nonresident aliens to U.S. source payments); 1442(a) (same with respect to foreign corporations). </w:t>
      </w:r>
    </w:p>
  </w:footnote>
  <w:footnote w:id="37">
    <w:p w14:paraId="30A5D9B8" w14:textId="62DD2842"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w:t>
      </w:r>
      <w:r w:rsidRPr="00A62B70">
        <w:rPr>
          <w:rFonts w:asciiTheme="minorHAnsi" w:hAnsiTheme="minorHAnsi" w:cstheme="minorHAnsi"/>
          <w:sz w:val="18"/>
          <w:szCs w:val="18"/>
        </w:rPr>
        <w:t>§§ 871; 881(a); 1441(a); 1442.</w:t>
      </w:r>
    </w:p>
  </w:footnote>
  <w:footnote w:id="38">
    <w:p w14:paraId="659E3B89"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§§871(b)(1); 882(a). </w:t>
      </w:r>
    </w:p>
  </w:footnote>
  <w:footnote w:id="39">
    <w:p w14:paraId="025EF2DB" w14:textId="0AFD0C1E"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43 B.T.A. 297 (1941), </w:t>
      </w:r>
      <w:r w:rsidRPr="00A62B70">
        <w:rPr>
          <w:rFonts w:asciiTheme="minorHAnsi" w:hAnsiTheme="minorHAnsi" w:cstheme="minorHAnsi"/>
          <w:i/>
          <w:sz w:val="18"/>
          <w:szCs w:val="18"/>
        </w:rPr>
        <w:t>non acq</w:t>
      </w:r>
      <w:r w:rsidRPr="00A62B70">
        <w:rPr>
          <w:rFonts w:asciiTheme="minorHAnsi" w:hAnsiTheme="minorHAnsi" w:cstheme="minorHAnsi"/>
          <w:sz w:val="18"/>
          <w:szCs w:val="18"/>
        </w:rPr>
        <w:t xml:space="preserve">. 1941-1 C.B. 18, </w:t>
      </w:r>
      <w:r w:rsidRPr="00A62B70">
        <w:rPr>
          <w:rFonts w:asciiTheme="minorHAnsi" w:hAnsiTheme="minorHAnsi" w:cstheme="minorHAnsi"/>
          <w:i/>
          <w:sz w:val="18"/>
          <w:szCs w:val="18"/>
        </w:rPr>
        <w:t>aff’d</w:t>
      </w:r>
      <w:r w:rsidRPr="00A62B70">
        <w:rPr>
          <w:rFonts w:asciiTheme="minorHAnsi" w:hAnsiTheme="minorHAnsi" w:cstheme="minorHAnsi"/>
          <w:sz w:val="18"/>
          <w:szCs w:val="18"/>
        </w:rPr>
        <w:t>, 127 F.2d 260 (5th Cir. 1942).</w:t>
      </w:r>
    </w:p>
  </w:footnote>
  <w:footnote w:id="40">
    <w:p w14:paraId="0F97673F"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Wisconsin v. J. C. Penney Co.</w:t>
      </w:r>
      <w:r w:rsidRPr="00A62B70">
        <w:rPr>
          <w:rFonts w:asciiTheme="minorHAnsi" w:hAnsiTheme="minorHAnsi" w:cstheme="minorHAnsi"/>
          <w:sz w:val="18"/>
          <w:szCs w:val="18"/>
        </w:rPr>
        <w:t>, 311 U.S. 435 (1940).</w:t>
      </w:r>
    </w:p>
  </w:footnote>
  <w:footnote w:id="41">
    <w:p w14:paraId="3E608B65"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42">
    <w:p w14:paraId="18D07251" w14:textId="28C68336"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South Dakota v. Wayfair, Inc.</w:t>
      </w:r>
      <w:r w:rsidRPr="00A62B70">
        <w:rPr>
          <w:rFonts w:asciiTheme="minorHAnsi" w:hAnsiTheme="minorHAnsi" w:cstheme="minorHAnsi"/>
          <w:sz w:val="18"/>
          <w:szCs w:val="18"/>
        </w:rPr>
        <w:t>, 138 S. Ct. 2080 (2018).</w:t>
      </w:r>
    </w:p>
  </w:footnote>
  <w:footnote w:id="43">
    <w:p w14:paraId="0FBE51FD" w14:textId="62A47DD1"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Complete Auto Transit, Inc. v. Brady</w:t>
      </w:r>
      <w:r w:rsidRPr="00A62B70">
        <w:rPr>
          <w:rFonts w:asciiTheme="minorHAnsi" w:hAnsiTheme="minorHAnsi" w:cstheme="minorHAnsi"/>
          <w:sz w:val="18"/>
          <w:szCs w:val="18"/>
        </w:rPr>
        <w:t xml:space="preserve">, 430 U.S. 274 (1977). </w:t>
      </w:r>
    </w:p>
  </w:footnote>
  <w:footnote w:id="44">
    <w:p w14:paraId="135C121B" w14:textId="5B7B948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386 U.S. 753 (1967). </w:t>
      </w:r>
    </w:p>
  </w:footnote>
  <w:footnote w:id="45">
    <w:p w14:paraId="4E2F5C51" w14:textId="2EFE5544"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504 U.S. 298 (1992). </w:t>
      </w:r>
    </w:p>
  </w:footnote>
  <w:footnote w:id="46">
    <w:p w14:paraId="0841B27D" w14:textId="311FDD9E" w:rsidR="00794C7D" w:rsidRPr="000078AF" w:rsidRDefault="00794C7D" w:rsidP="000078AF">
      <w:pPr>
        <w:pStyle w:val="FootnoteText"/>
        <w:spacing w:before="120"/>
        <w:rPr>
          <w:sz w:val="18"/>
          <w:szCs w:val="18"/>
        </w:rPr>
      </w:pPr>
      <w:r w:rsidRPr="000078AF">
        <w:rPr>
          <w:rStyle w:val="FootnoteReference"/>
          <w:sz w:val="18"/>
          <w:szCs w:val="18"/>
        </w:rPr>
        <w:footnoteRef/>
      </w:r>
      <w:r w:rsidRPr="000078AF">
        <w:rPr>
          <w:sz w:val="18"/>
          <w:szCs w:val="18"/>
        </w:rPr>
        <w:t xml:space="preserve"> </w:t>
      </w:r>
      <w:r>
        <w:rPr>
          <w:i/>
          <w:sz w:val="18"/>
          <w:szCs w:val="18"/>
        </w:rPr>
        <w:t>Id.</w:t>
      </w:r>
      <w:r>
        <w:rPr>
          <w:sz w:val="18"/>
          <w:szCs w:val="18"/>
        </w:rPr>
        <w:t xml:space="preserve"> at 305.</w:t>
      </w:r>
    </w:p>
  </w:footnote>
  <w:footnote w:id="47">
    <w:p w14:paraId="45F78D53" w14:textId="24A0E88C" w:rsidR="00794C7D" w:rsidRPr="000078AF" w:rsidRDefault="00794C7D" w:rsidP="000078AF">
      <w:pPr>
        <w:pStyle w:val="FootnoteText"/>
        <w:spacing w:before="120"/>
        <w:rPr>
          <w:sz w:val="18"/>
          <w:szCs w:val="18"/>
        </w:rPr>
      </w:pPr>
      <w:r w:rsidRPr="000078AF">
        <w:rPr>
          <w:rStyle w:val="FootnoteReference"/>
          <w:sz w:val="18"/>
          <w:szCs w:val="18"/>
        </w:rPr>
        <w:footnoteRef/>
      </w:r>
      <w:r w:rsidRPr="000078AF">
        <w:rPr>
          <w:sz w:val="18"/>
          <w:szCs w:val="18"/>
        </w:rPr>
        <w:t xml:space="preserve"> </w:t>
      </w:r>
      <w:r>
        <w:rPr>
          <w:i/>
          <w:sz w:val="18"/>
          <w:szCs w:val="18"/>
        </w:rPr>
        <w:t>Id.</w:t>
      </w:r>
      <w:r>
        <w:rPr>
          <w:sz w:val="18"/>
          <w:szCs w:val="18"/>
        </w:rPr>
        <w:t xml:space="preserve"> at 307.</w:t>
      </w:r>
    </w:p>
  </w:footnote>
  <w:footnote w:id="48">
    <w:p w14:paraId="1F3ECCAE" w14:textId="6B916DAF" w:rsidR="00794C7D" w:rsidRPr="000078AF" w:rsidRDefault="00794C7D" w:rsidP="000078AF">
      <w:pPr>
        <w:pStyle w:val="FootnoteText"/>
        <w:spacing w:before="120"/>
        <w:rPr>
          <w:sz w:val="18"/>
          <w:szCs w:val="18"/>
        </w:rPr>
      </w:pPr>
      <w:r w:rsidRPr="000078AF">
        <w:rPr>
          <w:rStyle w:val="FootnoteReference"/>
          <w:sz w:val="18"/>
          <w:szCs w:val="18"/>
        </w:rPr>
        <w:footnoteRef/>
      </w:r>
      <w:r w:rsidRPr="000078AF">
        <w:rPr>
          <w:sz w:val="18"/>
          <w:szCs w:val="18"/>
        </w:rPr>
        <w:t xml:space="preserve"> </w:t>
      </w:r>
      <w:r>
        <w:rPr>
          <w:i/>
          <w:sz w:val="18"/>
          <w:szCs w:val="18"/>
        </w:rPr>
        <w:t>Id.</w:t>
      </w:r>
      <w:r>
        <w:rPr>
          <w:sz w:val="18"/>
          <w:szCs w:val="18"/>
        </w:rPr>
        <w:t xml:space="preserve"> at 308.</w:t>
      </w:r>
    </w:p>
  </w:footnote>
  <w:footnote w:id="49">
    <w:p w14:paraId="09F56659" w14:textId="641C1F4D"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138 S. Ct. 2080 (2018).</w:t>
      </w:r>
    </w:p>
  </w:footnote>
  <w:footnote w:id="50">
    <w:p w14:paraId="2E268482" w14:textId="159A97C0" w:rsidR="00794C7D" w:rsidRPr="002D72B1" w:rsidRDefault="00794C7D" w:rsidP="002D72B1">
      <w:pPr>
        <w:pStyle w:val="FootnoteText"/>
        <w:spacing w:before="120"/>
        <w:rPr>
          <w:sz w:val="18"/>
          <w:szCs w:val="18"/>
        </w:rPr>
      </w:pPr>
      <w:r w:rsidRPr="002D72B1">
        <w:rPr>
          <w:rStyle w:val="FootnoteReference"/>
          <w:sz w:val="18"/>
          <w:szCs w:val="18"/>
        </w:rPr>
        <w:footnoteRef/>
      </w:r>
      <w:r w:rsidRPr="002D72B1">
        <w:rPr>
          <w:sz w:val="18"/>
          <w:szCs w:val="18"/>
        </w:rPr>
        <w:t xml:space="preserve"> </w:t>
      </w:r>
      <w:r w:rsidRPr="002D72B1">
        <w:rPr>
          <w:i/>
          <w:sz w:val="18"/>
          <w:szCs w:val="18"/>
        </w:rPr>
        <w:t>Id.</w:t>
      </w:r>
      <w:r w:rsidRPr="002D72B1">
        <w:rPr>
          <w:sz w:val="18"/>
          <w:szCs w:val="18"/>
        </w:rPr>
        <w:t xml:space="preserve"> at 2097.</w:t>
      </w:r>
    </w:p>
  </w:footnote>
  <w:footnote w:id="51">
    <w:p w14:paraId="26640C6C" w14:textId="6F7752D1"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w:t>
      </w:r>
      <w:r w:rsidRPr="00A62B70">
        <w:rPr>
          <w:rFonts w:asciiTheme="minorHAnsi" w:hAnsiTheme="minorHAnsi" w:cstheme="minorHAnsi"/>
          <w:sz w:val="18"/>
          <w:szCs w:val="18"/>
        </w:rPr>
        <w:t xml:space="preserve"> Richard Weiss, MBNA America Bank</w:t>
      </w:r>
      <w:r w:rsidRPr="00A62B70">
        <w:rPr>
          <w:rFonts w:asciiTheme="minorHAnsi" w:hAnsiTheme="minorHAnsi" w:cstheme="minorHAnsi"/>
          <w:i/>
          <w:sz w:val="18"/>
          <w:szCs w:val="18"/>
        </w:rPr>
        <w:t>: A New Standard for Nexus in Income and Franchise Taxation?</w:t>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J. Multistate Tax’n and Incentives</w:t>
      </w:r>
      <w:r w:rsidRPr="00A62B70">
        <w:rPr>
          <w:rFonts w:asciiTheme="minorHAnsi" w:hAnsiTheme="minorHAnsi" w:cstheme="minorHAnsi"/>
          <w:sz w:val="18"/>
          <w:szCs w:val="18"/>
        </w:rPr>
        <w:t xml:space="preserve"> (March/April 2007).</w:t>
      </w:r>
    </w:p>
  </w:footnote>
  <w:footnote w:id="52">
    <w:p w14:paraId="673D4587"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53">
    <w:p w14:paraId="34A13205" w14:textId="77777777" w:rsidR="00794C7D" w:rsidRPr="002D72B1" w:rsidRDefault="00794C7D" w:rsidP="002D72B1">
      <w:pPr>
        <w:pStyle w:val="FootnoteText"/>
        <w:spacing w:before="120"/>
        <w:rPr>
          <w:rFonts w:asciiTheme="minorHAnsi" w:hAnsiTheme="minorHAnsi" w:cstheme="minorHAnsi"/>
          <w:sz w:val="18"/>
          <w:szCs w:val="18"/>
        </w:rPr>
      </w:pPr>
      <w:r w:rsidRPr="002D72B1">
        <w:rPr>
          <w:rStyle w:val="FootnoteReference"/>
          <w:rFonts w:asciiTheme="minorHAnsi" w:hAnsiTheme="minorHAnsi" w:cstheme="minorHAnsi"/>
          <w:sz w:val="18"/>
          <w:szCs w:val="18"/>
        </w:rPr>
        <w:footnoteRef/>
      </w:r>
      <w:r w:rsidRPr="002D72B1">
        <w:rPr>
          <w:rFonts w:asciiTheme="minorHAnsi" w:hAnsiTheme="minorHAnsi" w:cstheme="minorHAnsi"/>
          <w:sz w:val="18"/>
          <w:szCs w:val="18"/>
        </w:rPr>
        <w:t xml:space="preserve"> 453 U.S. 609 (1981). </w:t>
      </w:r>
    </w:p>
  </w:footnote>
  <w:footnote w:id="54">
    <w:p w14:paraId="3312ADBC" w14:textId="52886ED6" w:rsidR="00794C7D" w:rsidRPr="002D72B1" w:rsidRDefault="00794C7D" w:rsidP="002D72B1">
      <w:pPr>
        <w:pStyle w:val="FootnoteText"/>
        <w:spacing w:before="120"/>
        <w:rPr>
          <w:sz w:val="18"/>
          <w:szCs w:val="18"/>
        </w:rPr>
      </w:pPr>
      <w:r w:rsidRPr="002D72B1">
        <w:rPr>
          <w:rStyle w:val="FootnoteReference"/>
          <w:sz w:val="18"/>
          <w:szCs w:val="18"/>
        </w:rPr>
        <w:footnoteRef/>
      </w:r>
      <w:r w:rsidRPr="002D72B1">
        <w:rPr>
          <w:sz w:val="18"/>
          <w:szCs w:val="18"/>
        </w:rPr>
        <w:t xml:space="preserve"> </w:t>
      </w:r>
      <w:r>
        <w:rPr>
          <w:i/>
          <w:sz w:val="18"/>
          <w:szCs w:val="18"/>
        </w:rPr>
        <w:t>Id.</w:t>
      </w:r>
      <w:r>
        <w:rPr>
          <w:sz w:val="18"/>
          <w:szCs w:val="18"/>
        </w:rPr>
        <w:t xml:space="preserve"> at 625.</w:t>
      </w:r>
    </w:p>
  </w:footnote>
  <w:footnote w:id="55">
    <w:p w14:paraId="0075D26C" w14:textId="039273A7" w:rsidR="00794C7D" w:rsidRPr="002D72B1" w:rsidRDefault="00794C7D" w:rsidP="002D72B1">
      <w:pPr>
        <w:pStyle w:val="FootnoteText"/>
        <w:spacing w:before="120"/>
        <w:rPr>
          <w:sz w:val="18"/>
          <w:szCs w:val="18"/>
        </w:rPr>
      </w:pPr>
      <w:r w:rsidRPr="002D72B1">
        <w:rPr>
          <w:rStyle w:val="FootnoteReference"/>
          <w:sz w:val="18"/>
          <w:szCs w:val="18"/>
        </w:rPr>
        <w:footnoteRef/>
      </w:r>
      <w:r w:rsidRPr="002D72B1">
        <w:rPr>
          <w:sz w:val="18"/>
          <w:szCs w:val="18"/>
        </w:rPr>
        <w:t xml:space="preserve"> </w:t>
      </w:r>
      <w:r>
        <w:rPr>
          <w:i/>
          <w:sz w:val="18"/>
          <w:szCs w:val="18"/>
        </w:rPr>
        <w:t>Id.</w:t>
      </w:r>
      <w:r>
        <w:rPr>
          <w:sz w:val="18"/>
          <w:szCs w:val="18"/>
        </w:rPr>
        <w:t xml:space="preserve"> at 626.</w:t>
      </w:r>
    </w:p>
  </w:footnote>
  <w:footnote w:id="56">
    <w:p w14:paraId="2708CBD3"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Container Corporation of America v. Franchise Tax Board</w:t>
      </w:r>
      <w:r w:rsidRPr="00A62B70">
        <w:rPr>
          <w:rFonts w:asciiTheme="minorHAnsi" w:hAnsiTheme="minorHAnsi" w:cstheme="minorHAnsi"/>
          <w:sz w:val="18"/>
          <w:szCs w:val="18"/>
        </w:rPr>
        <w:t>, 463 U.S. 159 (1983).</w:t>
      </w:r>
    </w:p>
  </w:footnote>
  <w:footnote w:id="57">
    <w:p w14:paraId="1780279C"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 Mobil Oil Corp. v. Commissioner of</w:t>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Taxes</w:t>
      </w:r>
      <w:r w:rsidRPr="00A62B70">
        <w:rPr>
          <w:rFonts w:asciiTheme="minorHAnsi" w:hAnsiTheme="minorHAnsi" w:cstheme="minorHAnsi"/>
          <w:sz w:val="18"/>
          <w:szCs w:val="18"/>
        </w:rPr>
        <w:t xml:space="preserve">, 445 U.S. 425 (1980). </w:t>
      </w:r>
    </w:p>
  </w:footnote>
  <w:footnote w:id="58">
    <w:p w14:paraId="2A7C49DD"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John A. Swain, Physical Presence Test Then and Now, Tax Notes State, Volume 102 (Oct. 18, 2021) at 329. </w:t>
      </w:r>
    </w:p>
  </w:footnote>
  <w:footnote w:id="59">
    <w:p w14:paraId="7D2A73FB"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254 U.S. 113 (1920). </w:t>
      </w:r>
    </w:p>
  </w:footnote>
  <w:footnote w:id="60">
    <w:p w14:paraId="60B05613"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Moorman Mfg. Co. v. Blair</w:t>
      </w:r>
      <w:r w:rsidRPr="00A62B70">
        <w:rPr>
          <w:rFonts w:asciiTheme="minorHAnsi" w:hAnsiTheme="minorHAnsi" w:cstheme="minorHAnsi"/>
          <w:sz w:val="18"/>
          <w:szCs w:val="18"/>
        </w:rPr>
        <w:t xml:space="preserve">, 437 U.S. 267 (1978). </w:t>
      </w:r>
    </w:p>
  </w:footnote>
  <w:footnote w:id="61">
    <w:p w14:paraId="67E2F456" w14:textId="595E65BC" w:rsidR="00794C7D" w:rsidRPr="00C2531B"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Pr>
          <w:rFonts w:asciiTheme="minorHAnsi" w:hAnsiTheme="minorHAnsi" w:cstheme="minorHAnsi"/>
          <w:i/>
          <w:sz w:val="18"/>
          <w:szCs w:val="18"/>
        </w:rPr>
        <w:t>See i</w:t>
      </w:r>
      <w:r w:rsidRPr="00A62B70">
        <w:rPr>
          <w:rFonts w:asciiTheme="minorHAnsi" w:hAnsiTheme="minorHAnsi" w:cstheme="minorHAnsi"/>
          <w:i/>
          <w:sz w:val="18"/>
          <w:szCs w:val="18"/>
        </w:rPr>
        <w:t xml:space="preserve">d. </w:t>
      </w:r>
      <w:r>
        <w:rPr>
          <w:rFonts w:asciiTheme="minorHAnsi" w:hAnsiTheme="minorHAnsi" w:cstheme="minorHAnsi"/>
          <w:sz w:val="18"/>
          <w:szCs w:val="18"/>
        </w:rPr>
        <w:t>at 296.</w:t>
      </w:r>
    </w:p>
  </w:footnote>
  <w:footnote w:id="62">
    <w:p w14:paraId="08C4747E"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63">
    <w:p w14:paraId="2CEDDC24" w14:textId="77637C78" w:rsidR="00794C7D" w:rsidRPr="00C2531B"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C2531B">
        <w:rPr>
          <w:rFonts w:asciiTheme="minorHAnsi" w:hAnsiTheme="minorHAnsi" w:cstheme="minorHAnsi"/>
          <w:sz w:val="18"/>
          <w:szCs w:val="18"/>
        </w:rPr>
        <w:t>437 U.S. 267 (1978).</w:t>
      </w:r>
    </w:p>
  </w:footnote>
  <w:footnote w:id="64">
    <w:p w14:paraId="01D43798" w14:textId="588CDA84" w:rsidR="00794C7D" w:rsidRPr="00C2531B" w:rsidRDefault="00794C7D" w:rsidP="00C2531B">
      <w:pPr>
        <w:pStyle w:val="FootnoteText"/>
        <w:spacing w:before="120"/>
        <w:rPr>
          <w:sz w:val="18"/>
          <w:szCs w:val="18"/>
        </w:rPr>
      </w:pPr>
      <w:r w:rsidRPr="00C2531B">
        <w:rPr>
          <w:rStyle w:val="FootnoteReference"/>
          <w:sz w:val="18"/>
          <w:szCs w:val="18"/>
        </w:rPr>
        <w:footnoteRef/>
      </w:r>
      <w:r w:rsidRPr="00C2531B">
        <w:rPr>
          <w:sz w:val="18"/>
          <w:szCs w:val="18"/>
        </w:rPr>
        <w:t xml:space="preserve"> </w:t>
      </w:r>
      <w:r w:rsidRPr="00C2531B">
        <w:rPr>
          <w:i/>
          <w:sz w:val="18"/>
          <w:szCs w:val="18"/>
        </w:rPr>
        <w:t>Id.</w:t>
      </w:r>
      <w:r w:rsidRPr="00C2531B">
        <w:rPr>
          <w:sz w:val="18"/>
          <w:szCs w:val="18"/>
        </w:rPr>
        <w:t xml:space="preserve"> at </w:t>
      </w:r>
      <w:r>
        <w:rPr>
          <w:sz w:val="18"/>
          <w:szCs w:val="18"/>
        </w:rPr>
        <w:t xml:space="preserve">273 </w:t>
      </w:r>
      <w:r w:rsidRPr="00C2531B">
        <w:rPr>
          <w:sz w:val="18"/>
          <w:szCs w:val="18"/>
        </w:rPr>
        <w:t xml:space="preserve">(quoting </w:t>
      </w:r>
      <w:r w:rsidRPr="00C2531B">
        <w:rPr>
          <w:i/>
          <w:sz w:val="18"/>
          <w:szCs w:val="18"/>
        </w:rPr>
        <w:t>Norfolk &amp; Western R. Co. v. State Tax Comm’n</w:t>
      </w:r>
      <w:r w:rsidRPr="00C2531B">
        <w:rPr>
          <w:sz w:val="18"/>
          <w:szCs w:val="18"/>
        </w:rPr>
        <w:t>, 390 U.S. 317, 325 (</w:t>
      </w:r>
      <w:r>
        <w:rPr>
          <w:sz w:val="18"/>
          <w:szCs w:val="18"/>
        </w:rPr>
        <w:t>1968</w:t>
      </w:r>
      <w:r w:rsidRPr="00C2531B">
        <w:rPr>
          <w:sz w:val="18"/>
          <w:szCs w:val="18"/>
        </w:rPr>
        <w:t>)).</w:t>
      </w:r>
    </w:p>
  </w:footnote>
  <w:footnote w:id="65">
    <w:p w14:paraId="73B5B2CD" w14:textId="580CB5AF"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Ara Stepanyan et al., </w:t>
      </w:r>
      <w:r w:rsidRPr="00A62B70">
        <w:rPr>
          <w:rFonts w:asciiTheme="minorHAnsi" w:hAnsiTheme="minorHAnsi" w:cstheme="minorHAnsi"/>
          <w:i/>
          <w:sz w:val="18"/>
          <w:szCs w:val="18"/>
        </w:rPr>
        <w:t>An Empirical Economic Framework for State Corporate Tax Apportionment</w:t>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Tax Notes</w:t>
      </w:r>
      <w:r w:rsidRPr="00A62B70">
        <w:rPr>
          <w:rFonts w:asciiTheme="minorHAnsi" w:hAnsiTheme="minorHAnsi" w:cstheme="minorHAnsi"/>
          <w:sz w:val="18"/>
          <w:szCs w:val="18"/>
        </w:rPr>
        <w:t xml:space="preserve"> (July 17, 2023). </w:t>
      </w:r>
    </w:p>
  </w:footnote>
  <w:footnote w:id="66">
    <w:p w14:paraId="139A4142" w14:textId="6967DA42" w:rsidR="00794C7D" w:rsidRPr="00113F92" w:rsidRDefault="00794C7D" w:rsidP="00113F92">
      <w:pPr>
        <w:pStyle w:val="FootnoteText"/>
        <w:spacing w:before="120"/>
        <w:rPr>
          <w:sz w:val="18"/>
          <w:szCs w:val="18"/>
        </w:rPr>
      </w:pPr>
      <w:r w:rsidRPr="00113F92">
        <w:rPr>
          <w:rStyle w:val="FootnoteReference"/>
          <w:sz w:val="18"/>
          <w:szCs w:val="18"/>
        </w:rPr>
        <w:footnoteRef/>
      </w:r>
      <w:r w:rsidRPr="00113F92">
        <w:rPr>
          <w:sz w:val="18"/>
          <w:szCs w:val="18"/>
        </w:rPr>
        <w:t xml:space="preserve"> Of $100 of T’s income, $67 (67%) is apportioned to State X because all of T’s</w:t>
      </w:r>
      <w:r w:rsidRPr="00B56FC3">
        <w:rPr>
          <w:sz w:val="18"/>
          <w:szCs w:val="18"/>
        </w:rPr>
        <w:t xml:space="preserve"> payroll and property are</w:t>
      </w:r>
      <w:r w:rsidRPr="00113F92">
        <w:rPr>
          <w:sz w:val="18"/>
          <w:szCs w:val="18"/>
        </w:rPr>
        <w:t xml:space="preserve"> in State X.  Then, 50% of T’s sales are in State X, </w:t>
      </w:r>
      <w:r>
        <w:rPr>
          <w:sz w:val="18"/>
          <w:szCs w:val="18"/>
        </w:rPr>
        <w:t>causing</w:t>
      </w:r>
      <w:r w:rsidRPr="00113F92">
        <w:rPr>
          <w:sz w:val="18"/>
          <w:szCs w:val="18"/>
        </w:rPr>
        <w:t xml:space="preserve"> an additional $16.50 (16.5%) of T’s income to</w:t>
      </w:r>
      <w:r>
        <w:rPr>
          <w:sz w:val="18"/>
          <w:szCs w:val="18"/>
        </w:rPr>
        <w:t xml:space="preserve"> be apportioned to</w:t>
      </w:r>
      <w:r w:rsidRPr="00113F92">
        <w:rPr>
          <w:sz w:val="18"/>
          <w:szCs w:val="18"/>
        </w:rPr>
        <w:t xml:space="preserve"> State X. </w:t>
      </w:r>
    </w:p>
  </w:footnote>
  <w:footnote w:id="67">
    <w:p w14:paraId="1C99690C" w14:textId="1CA474EB" w:rsidR="00794C7D" w:rsidRPr="00A62B70" w:rsidRDefault="00794C7D" w:rsidP="00B56FC3">
      <w:pPr>
        <w:pStyle w:val="FootnoteText"/>
        <w:spacing w:before="120"/>
        <w:rPr>
          <w:rFonts w:asciiTheme="minorHAnsi" w:hAnsiTheme="minorHAnsi" w:cstheme="minorHAnsi"/>
          <w:sz w:val="18"/>
          <w:szCs w:val="18"/>
        </w:rPr>
      </w:pPr>
      <w:r w:rsidRPr="00B56FC3">
        <w:rPr>
          <w:rStyle w:val="FootnoteReference"/>
          <w:rFonts w:asciiTheme="minorHAnsi" w:hAnsiTheme="minorHAnsi" w:cstheme="minorHAnsi"/>
          <w:sz w:val="18"/>
          <w:szCs w:val="18"/>
        </w:rPr>
        <w:footnoteRef/>
      </w:r>
      <w:r w:rsidRPr="00B56FC3">
        <w:rPr>
          <w:rFonts w:asciiTheme="minorHAnsi" w:hAnsiTheme="minorHAnsi" w:cstheme="minorHAnsi"/>
          <w:sz w:val="18"/>
          <w:szCs w:val="18"/>
        </w:rPr>
        <w:t xml:space="preserve"> 463 U.S. 159 (1983).</w:t>
      </w:r>
    </w:p>
  </w:footnote>
  <w:footnote w:id="68">
    <w:p w14:paraId="24034B80" w14:textId="1571BD82" w:rsidR="00794C7D" w:rsidRPr="00C2531B" w:rsidRDefault="00794C7D" w:rsidP="00C2531B">
      <w:pPr>
        <w:pStyle w:val="FootnoteText"/>
        <w:spacing w:before="120"/>
        <w:rPr>
          <w:rFonts w:asciiTheme="minorHAnsi" w:hAnsiTheme="minorHAnsi" w:cstheme="minorHAnsi"/>
          <w:sz w:val="18"/>
          <w:szCs w:val="18"/>
        </w:rPr>
      </w:pPr>
      <w:r w:rsidRPr="00C2531B">
        <w:rPr>
          <w:rStyle w:val="FootnoteReference"/>
          <w:rFonts w:asciiTheme="minorHAnsi" w:hAnsiTheme="minorHAnsi" w:cstheme="minorHAnsi"/>
          <w:sz w:val="18"/>
          <w:szCs w:val="18"/>
        </w:rPr>
        <w:footnoteRef/>
      </w:r>
      <w:r w:rsidRPr="00C2531B">
        <w:rPr>
          <w:rFonts w:asciiTheme="minorHAnsi" w:hAnsiTheme="minorHAnsi" w:cstheme="minorHAnsi"/>
          <w:sz w:val="18"/>
          <w:szCs w:val="18"/>
        </w:rPr>
        <w:t xml:space="preserve"> </w:t>
      </w:r>
      <w:r w:rsidRPr="00C2531B">
        <w:rPr>
          <w:rFonts w:asciiTheme="minorHAnsi" w:hAnsiTheme="minorHAnsi" w:cstheme="minorHAnsi"/>
          <w:i/>
          <w:sz w:val="18"/>
          <w:szCs w:val="18"/>
        </w:rPr>
        <w:t>Id.</w:t>
      </w:r>
      <w:r w:rsidRPr="00C2531B">
        <w:rPr>
          <w:rFonts w:asciiTheme="minorHAnsi" w:hAnsiTheme="minorHAnsi" w:cstheme="minorHAnsi"/>
          <w:sz w:val="18"/>
          <w:szCs w:val="18"/>
        </w:rPr>
        <w:t xml:space="preserve"> at 174–75.</w:t>
      </w:r>
    </w:p>
  </w:footnote>
  <w:footnote w:id="69">
    <w:p w14:paraId="7F37E204" w14:textId="38467AA3" w:rsidR="00794C7D" w:rsidRPr="00C2531B" w:rsidRDefault="00794C7D" w:rsidP="00C2531B">
      <w:pPr>
        <w:pStyle w:val="FootnoteText"/>
        <w:spacing w:before="120"/>
      </w:pPr>
      <w:r w:rsidRPr="00C2531B">
        <w:rPr>
          <w:rStyle w:val="FootnoteReference"/>
          <w:sz w:val="18"/>
          <w:szCs w:val="18"/>
        </w:rPr>
        <w:footnoteRef/>
      </w:r>
      <w:r w:rsidRPr="00C2531B">
        <w:rPr>
          <w:sz w:val="18"/>
          <w:szCs w:val="18"/>
        </w:rPr>
        <w:t xml:space="preserve"> </w:t>
      </w:r>
      <w:r w:rsidRPr="00C2531B">
        <w:rPr>
          <w:i/>
          <w:sz w:val="18"/>
          <w:szCs w:val="18"/>
        </w:rPr>
        <w:t>Id.</w:t>
      </w:r>
      <w:r w:rsidRPr="00C2531B">
        <w:rPr>
          <w:sz w:val="18"/>
          <w:szCs w:val="18"/>
        </w:rPr>
        <w:t xml:space="preserve"> at 167-68.</w:t>
      </w:r>
    </w:p>
  </w:footnote>
  <w:footnote w:id="70">
    <w:p w14:paraId="445FAD87"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512 U.S. 298 (1994). </w:t>
      </w:r>
    </w:p>
  </w:footnote>
  <w:footnote w:id="71">
    <w:p w14:paraId="1EF56729" w14:textId="7F898DE6"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312 (citations omitted).</w:t>
      </w:r>
    </w:p>
  </w:footnote>
  <w:footnote w:id="72">
    <w:p w14:paraId="6623A698" w14:textId="16D33709"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303 (quoting </w:t>
      </w:r>
      <w:r w:rsidRPr="00A62B70">
        <w:rPr>
          <w:rFonts w:asciiTheme="minorHAnsi" w:hAnsiTheme="minorHAnsi" w:cstheme="minorHAnsi"/>
          <w:i/>
          <w:sz w:val="18"/>
          <w:szCs w:val="18"/>
        </w:rPr>
        <w:t>ASARCO Inc. v. Idaho Tax Comm’n</w:t>
      </w:r>
      <w:r w:rsidRPr="00A62B70">
        <w:rPr>
          <w:rFonts w:asciiTheme="minorHAnsi" w:hAnsiTheme="minorHAnsi" w:cstheme="minorHAnsi"/>
          <w:sz w:val="18"/>
          <w:szCs w:val="18"/>
        </w:rPr>
        <w:t>, 458 U.S. 307, 315 (1982)).</w:t>
      </w:r>
    </w:p>
  </w:footnote>
  <w:footnote w:id="73">
    <w:p w14:paraId="2590E86A" w14:textId="5D10BD4F"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Massimo Agostini, </w:t>
      </w:r>
      <w:r w:rsidRPr="00A62B70">
        <w:rPr>
          <w:rFonts w:asciiTheme="minorHAnsi" w:hAnsiTheme="minorHAnsi" w:cstheme="minorHAnsi"/>
          <w:i/>
          <w:sz w:val="18"/>
          <w:szCs w:val="18"/>
        </w:rPr>
        <w:t>U.S. Perspectives of Worldwide Unitary Taxation</w:t>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 xml:space="preserve">7 Penn State Int’l L. Rev. </w:t>
      </w:r>
      <w:r w:rsidRPr="00A62B70">
        <w:rPr>
          <w:rFonts w:asciiTheme="minorHAnsi" w:hAnsiTheme="minorHAnsi" w:cstheme="minorHAnsi"/>
          <w:sz w:val="18"/>
          <w:szCs w:val="18"/>
        </w:rPr>
        <w:t>213, 222 (1989); James John Jurinski, C</w:t>
      </w:r>
      <w:r w:rsidRPr="00A62B70">
        <w:rPr>
          <w:rFonts w:asciiTheme="minorHAnsi" w:hAnsiTheme="minorHAnsi" w:cstheme="minorHAnsi"/>
          <w:i/>
          <w:sz w:val="18"/>
          <w:szCs w:val="18"/>
        </w:rPr>
        <w:t>alifornia’s Water’s-Edge Legislation: The Closing Chapter in the Unitary Tax Debate?</w:t>
      </w:r>
      <w:r w:rsidRPr="00A62B70">
        <w:rPr>
          <w:rFonts w:asciiTheme="minorHAnsi" w:hAnsiTheme="minorHAnsi" w:cstheme="minorHAnsi"/>
          <w:sz w:val="18"/>
          <w:szCs w:val="18"/>
        </w:rPr>
        <w:t xml:space="preserve">, 6 </w:t>
      </w:r>
      <w:r w:rsidRPr="00A62B70">
        <w:rPr>
          <w:rFonts w:asciiTheme="minorHAnsi" w:hAnsiTheme="minorHAnsi" w:cstheme="minorHAnsi"/>
          <w:smallCaps/>
          <w:sz w:val="18"/>
          <w:szCs w:val="18"/>
        </w:rPr>
        <w:t xml:space="preserve">J. State Tax’n </w:t>
      </w:r>
      <w:r w:rsidRPr="00A62B70">
        <w:rPr>
          <w:rFonts w:asciiTheme="minorHAnsi" w:hAnsiTheme="minorHAnsi" w:cstheme="minorHAnsi"/>
          <w:sz w:val="18"/>
          <w:szCs w:val="18"/>
        </w:rPr>
        <w:t xml:space="preserve">23, 25–27 (1987); </w:t>
      </w:r>
      <w:r w:rsidRPr="00A62B70">
        <w:rPr>
          <w:rFonts w:asciiTheme="minorHAnsi" w:hAnsiTheme="minorHAnsi" w:cstheme="minorHAnsi"/>
          <w:smallCaps/>
          <w:sz w:val="18"/>
          <w:szCs w:val="18"/>
        </w:rPr>
        <w:t>Franchise Tax Board of California, Water’s Edge Manual</w:t>
      </w:r>
      <w:r w:rsidRPr="00A62B70">
        <w:rPr>
          <w:rFonts w:asciiTheme="minorHAnsi" w:hAnsiTheme="minorHAnsi" w:cstheme="minorHAnsi"/>
          <w:sz w:val="18"/>
          <w:szCs w:val="18"/>
        </w:rPr>
        <w:t xml:space="preserve">, ch. 1, Section b [hereinafter Water’s Edge Manual]. </w:t>
      </w:r>
    </w:p>
  </w:footnote>
  <w:footnote w:id="74">
    <w:p w14:paraId="4330F237"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Robert Khuon Wiederstein, </w:t>
      </w:r>
      <w:r w:rsidRPr="00A62B70">
        <w:rPr>
          <w:rFonts w:asciiTheme="minorHAnsi" w:hAnsiTheme="minorHAnsi" w:cstheme="minorHAnsi"/>
          <w:i/>
          <w:sz w:val="18"/>
          <w:szCs w:val="18"/>
        </w:rPr>
        <w:t>California and Unitary Taxation: The Continuing Saga</w:t>
      </w:r>
      <w:r w:rsidRPr="00A62B70">
        <w:rPr>
          <w:rFonts w:asciiTheme="minorHAnsi" w:hAnsiTheme="minorHAnsi" w:cstheme="minorHAnsi"/>
          <w:sz w:val="18"/>
          <w:szCs w:val="18"/>
        </w:rPr>
        <w:t>, 3 Ind. Int’l &amp; Comp. L. Rel. 135, note 24 (1992).</w:t>
      </w:r>
    </w:p>
  </w:footnote>
  <w:footnote w:id="75">
    <w:p w14:paraId="47C8FB4D" w14:textId="6CC4B659"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Agostini, </w:t>
      </w:r>
      <w:r w:rsidRPr="00A62B70">
        <w:rPr>
          <w:rFonts w:asciiTheme="minorHAnsi" w:hAnsiTheme="minorHAnsi" w:cstheme="minorHAnsi"/>
          <w:i/>
          <w:sz w:val="18"/>
          <w:szCs w:val="18"/>
        </w:rPr>
        <w:t>supra</w:t>
      </w:r>
      <w:r w:rsidRPr="00A62B70">
        <w:rPr>
          <w:rFonts w:asciiTheme="minorHAnsi" w:hAnsiTheme="minorHAnsi" w:cstheme="minorHAnsi"/>
          <w:sz w:val="18"/>
          <w:szCs w:val="18"/>
        </w:rPr>
        <w:t xml:space="preserve"> 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_Ref148965515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61</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222; Jurinski, supra 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_Ref148965515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61</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at 26–27, 31.</w:t>
      </w:r>
    </w:p>
  </w:footnote>
  <w:footnote w:id="76">
    <w:p w14:paraId="045D9237" w14:textId="01047B4E"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Water’s Edge Manual,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_Ref148965515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61</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ch. 1, Section a(1). </w:t>
      </w:r>
    </w:p>
  </w:footnote>
  <w:footnote w:id="77">
    <w:p w14:paraId="14BF0846" w14:textId="477FE065" w:rsidR="00794C7D" w:rsidRPr="00825D81" w:rsidRDefault="00794C7D" w:rsidP="00B56FC3">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B56FC3">
        <w:rPr>
          <w:rFonts w:asciiTheme="minorHAnsi" w:hAnsiTheme="minorHAnsi" w:cstheme="minorHAnsi"/>
          <w:sz w:val="18"/>
          <w:szCs w:val="18"/>
        </w:rPr>
        <w:t xml:space="preserve">Legislation enacting mandatory WWCR has been introduced in Hawaii, Oregon, Minnesota, and New Hampshire. HI H.B. 149, S.B. 986; OR H.B. 2674; MN H.F. 2883, S.F. 1811, H.F. 1938; NH H.B. 121. </w:t>
      </w:r>
    </w:p>
  </w:footnote>
  <w:footnote w:id="78">
    <w:p w14:paraId="16F98BC5" w14:textId="0913A63C" w:rsidR="00794C7D" w:rsidRDefault="00794C7D" w:rsidP="00113F92">
      <w:pPr>
        <w:pStyle w:val="FootnoteText"/>
        <w:spacing w:before="120"/>
      </w:pPr>
      <w:r w:rsidRPr="00113F92">
        <w:rPr>
          <w:rStyle w:val="FootnoteReference"/>
          <w:sz w:val="18"/>
          <w:szCs w:val="18"/>
        </w:rPr>
        <w:footnoteRef/>
      </w:r>
      <w:r w:rsidRPr="00113F92">
        <w:rPr>
          <w:sz w:val="18"/>
          <w:szCs w:val="18"/>
        </w:rPr>
        <w:t xml:space="preserve"> Instead of apportioning all of a Covered Group’s (defined below) income based on revenue, as discussed below, Pillar I would only apportion 25% of the Covered Group’s income (in excess of a routine return) a based on revenue.</w:t>
      </w:r>
      <w:r>
        <w:t xml:space="preserve"> </w:t>
      </w:r>
    </w:p>
  </w:footnote>
  <w:footnote w:id="79">
    <w:p w14:paraId="7FAD130F" w14:textId="34A2A56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Finance Act 2015 c.11, Part 3, Sections 80 &amp; 81. </w:t>
      </w:r>
    </w:p>
  </w:footnote>
  <w:footnote w:id="80">
    <w:p w14:paraId="2DC1180B" w14:textId="71DE3B1D"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Section 86. </w:t>
      </w:r>
    </w:p>
  </w:footnote>
  <w:footnote w:id="81">
    <w:p w14:paraId="63C41F8E" w14:textId="758EBD3F"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Section 86(1)(c).</w:t>
      </w:r>
    </w:p>
  </w:footnote>
  <w:footnote w:id="82">
    <w:p w14:paraId="75FB8850"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p>
  </w:footnote>
  <w:footnote w:id="83">
    <w:p w14:paraId="4DA95D52" w14:textId="7FFF0182"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Sections 86(1)(e) &amp; (f).</w:t>
      </w:r>
    </w:p>
  </w:footnote>
  <w:footnote w:id="84">
    <w:p w14:paraId="756E0128"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 Section 86(3). </w:t>
      </w:r>
    </w:p>
  </w:footnote>
  <w:footnote w:id="85">
    <w:p w14:paraId="1E917A4E"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HM Revenue &amp; Customs, HMRC International Manual, INTM489954. </w:t>
      </w:r>
    </w:p>
  </w:footnote>
  <w:footnote w:id="86">
    <w:p w14:paraId="0D6C3183" w14:textId="7A8263C2"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Finance Act 2015 c.11, Part 3, Sections 88(5) &amp; 89.</w:t>
      </w:r>
    </w:p>
  </w:footnote>
  <w:footnote w:id="87">
    <w:p w14:paraId="4E0DC83E"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z w:val="18"/>
          <w:szCs w:val="18"/>
          <w:highlight w:val="yellow"/>
        </w:rPr>
        <w:t>Need cite</w:t>
      </w:r>
      <w:r w:rsidRPr="00A62B70">
        <w:rPr>
          <w:rFonts w:asciiTheme="minorHAnsi" w:hAnsiTheme="minorHAnsi" w:cstheme="minorHAnsi"/>
          <w:sz w:val="18"/>
          <w:szCs w:val="18"/>
        </w:rPr>
        <w:t>].</w:t>
      </w:r>
    </w:p>
  </w:footnote>
  <w:footnote w:id="88">
    <w:p w14:paraId="01C7DE6D"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Finance Act 2015 c.11, Part 3, Section 102. </w:t>
      </w:r>
    </w:p>
  </w:footnote>
  <w:footnote w:id="89">
    <w:p w14:paraId="10110C69" w14:textId="37AD725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Sections 86(1)(h) &amp; 87. </w:t>
      </w:r>
    </w:p>
  </w:footnote>
  <w:footnote w:id="90">
    <w:p w14:paraId="6BAC9E4A" w14:textId="6C023D60"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Convention between the Government of the United States of America and the Government of the United Kingdom of Great Britain and Northern Ireland for the Avoidance of Double Taxation and the Prevention of Fiscal Evasion With Respect to Taxes in Income and Capital Gains, art. 5 (2001). </w:t>
      </w:r>
    </w:p>
  </w:footnote>
  <w:footnote w:id="91">
    <w:p w14:paraId="58415A8B" w14:textId="2CF98569"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art. 24. </w:t>
      </w:r>
    </w:p>
  </w:footnote>
  <w:footnote w:id="92">
    <w:p w14:paraId="5E3B795C" w14:textId="702DE533"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KPMG, Taxation of the Digitalized Economy: Developments Summary</w:t>
      </w:r>
      <w:r w:rsidRPr="00A62B70">
        <w:rPr>
          <w:rFonts w:asciiTheme="minorHAnsi" w:hAnsiTheme="minorHAnsi" w:cstheme="minorHAnsi"/>
          <w:sz w:val="18"/>
          <w:szCs w:val="18"/>
        </w:rPr>
        <w:t xml:space="preserve"> 12 (Oct. 10, 2023), </w:t>
      </w:r>
      <w:hyperlink r:id="rId2" w:history="1">
        <w:r w:rsidRPr="00A62B70">
          <w:rPr>
            <w:rStyle w:val="Hyperlink"/>
            <w:rFonts w:asciiTheme="minorHAnsi" w:hAnsiTheme="minorHAnsi" w:cstheme="minorHAnsi"/>
            <w:sz w:val="18"/>
            <w:szCs w:val="18"/>
          </w:rPr>
          <w:t>https://kpmg.com/kpmg-us/content/dam/kpmg/pdf/2023/digitalized-economy-taxation-developments-summary.pdf</w:t>
        </w:r>
      </w:hyperlink>
      <w:r w:rsidRPr="00A62B70">
        <w:rPr>
          <w:rFonts w:asciiTheme="minorHAnsi" w:hAnsiTheme="minorHAnsi" w:cstheme="minorHAnsi"/>
          <w:sz w:val="18"/>
          <w:szCs w:val="18"/>
        </w:rPr>
        <w:t>.</w:t>
      </w:r>
    </w:p>
  </w:footnote>
  <w:footnote w:id="93">
    <w:p w14:paraId="2AABA9B9"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at 32.</w:t>
      </w:r>
    </w:p>
  </w:footnote>
  <w:footnote w:id="94">
    <w:p w14:paraId="169AD5E2"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95">
    <w:p w14:paraId="4D0BF101"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at 18 &amp; 54.</w:t>
      </w:r>
    </w:p>
  </w:footnote>
  <w:footnote w:id="96">
    <w:p w14:paraId="5E298C27"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at 10.</w:t>
      </w:r>
    </w:p>
  </w:footnote>
  <w:footnote w:id="97">
    <w:p w14:paraId="7AF2975F"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at 19.</w:t>
      </w:r>
    </w:p>
  </w:footnote>
  <w:footnote w:id="98">
    <w:p w14:paraId="47A6043C"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z w:val="18"/>
          <w:szCs w:val="18"/>
          <w:highlight w:val="yellow"/>
        </w:rPr>
        <w:t>Need cite</w:t>
      </w:r>
      <w:r w:rsidRPr="00A62B70">
        <w:rPr>
          <w:rFonts w:asciiTheme="minorHAnsi" w:hAnsiTheme="minorHAnsi" w:cstheme="minorHAnsi"/>
          <w:sz w:val="18"/>
          <w:szCs w:val="18"/>
        </w:rPr>
        <w:t>]</w:t>
      </w:r>
    </w:p>
  </w:footnote>
  <w:footnote w:id="99">
    <w:p w14:paraId="46FD3ADA" w14:textId="1961900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Stephanie Soong Johnston, </w:t>
      </w:r>
      <w:r w:rsidRPr="00A62B70">
        <w:rPr>
          <w:rFonts w:asciiTheme="minorHAnsi" w:hAnsiTheme="minorHAnsi" w:cstheme="minorHAnsi"/>
          <w:i/>
          <w:sz w:val="18"/>
          <w:szCs w:val="18"/>
        </w:rPr>
        <w:t>India’s Equalization Levy Not Proposed as Income Tax, Panel Says</w:t>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 xml:space="preserve">Tax Analyst </w:t>
      </w:r>
      <w:r w:rsidRPr="00A62B70">
        <w:rPr>
          <w:rFonts w:asciiTheme="minorHAnsi" w:hAnsiTheme="minorHAnsi" w:cstheme="minorHAnsi"/>
          <w:sz w:val="18"/>
          <w:szCs w:val="18"/>
        </w:rPr>
        <w:t>(Mar. 22, 2016).</w:t>
      </w:r>
    </w:p>
  </w:footnote>
  <w:footnote w:id="100">
    <w:p w14:paraId="7BC79ADA" w14:textId="4B40F389"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w:t>
      </w:r>
      <w:r w:rsidRPr="00A62B70">
        <w:rPr>
          <w:rFonts w:asciiTheme="minorHAnsi" w:hAnsiTheme="minorHAnsi" w:cstheme="minorHAnsi"/>
          <w:sz w:val="18"/>
          <w:szCs w:val="18"/>
        </w:rPr>
        <w:t xml:space="preserve"> OECD, </w:t>
      </w:r>
      <w:r w:rsidRPr="00A62B70">
        <w:rPr>
          <w:rFonts w:asciiTheme="minorHAnsi" w:hAnsiTheme="minorHAnsi" w:cstheme="minorHAnsi"/>
          <w:i/>
          <w:sz w:val="18"/>
          <w:szCs w:val="18"/>
        </w:rPr>
        <w:t>Statement on a Two-Pillar Solution to Address the Tax Challenges Arising from the Digitalization of the Economy</w:t>
      </w:r>
      <w:r w:rsidRPr="00A62B70">
        <w:rPr>
          <w:rFonts w:asciiTheme="minorHAnsi" w:hAnsiTheme="minorHAnsi" w:cstheme="minorHAnsi"/>
          <w:sz w:val="18"/>
          <w:szCs w:val="18"/>
        </w:rPr>
        <w:t xml:space="preserve"> (Oct. 8, 2021) [hereinafter October 2021 Statement]; Press Release, U.S. Dept. Treasury, Joint Statement from the United States, Austria, France, Italy, Spain, and the United Kingdom, Regarding a Compromise on a Transitional Approach to Existing Unilateral Measures During the Interim Period Before Pillar 1 Is in Effect (Oct. 21, 2021).</w:t>
      </w:r>
    </w:p>
  </w:footnote>
  <w:footnote w:id="101">
    <w:p w14:paraId="338C9F59" w14:textId="15CBAB9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 xml:space="preserve">USTR, Report on France’s Digital Services Tax Prepared in the Investigation under Section 301 of the Trade Act of 1974 </w:t>
      </w:r>
      <w:r w:rsidRPr="00A62B70">
        <w:rPr>
          <w:rFonts w:asciiTheme="minorHAnsi" w:hAnsiTheme="minorHAnsi" w:cstheme="minorHAnsi"/>
          <w:sz w:val="18"/>
          <w:szCs w:val="18"/>
        </w:rPr>
        <w:t xml:space="preserve">(Dec. 2, 2019) [hereinafter USTR France DST Report]. </w:t>
      </w:r>
    </w:p>
  </w:footnote>
  <w:footnote w:id="102">
    <w:p w14:paraId="34C9E071"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Press Release, USTR, USTR Announces, and Immediately Suspends, Tariffs in Section 301 Digital Services Taxes Investigations (June 2, 2021). </w:t>
      </w:r>
    </w:p>
  </w:footnote>
  <w:footnote w:id="103">
    <w:p w14:paraId="3FB410FD"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USTR, Termination of Actions in the Section 301 Digital Services Tax Investigations of Austria, France, Italy, Spain, and the United Kingdom and Further Monitoring, 86 Fed. Reg. 65490 (Nov. 18, 2021). </w:t>
      </w:r>
    </w:p>
  </w:footnote>
  <w:footnote w:id="104">
    <w:p w14:paraId="79FC8DC0"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Press Release, U.S. Dept. Treasury, Joint Statement from the United States, Austria, France, Italy, Spain, and the United Kingdom, Regarding a Compromise on a Transitional Approach to Existing Unilateral Measures During the Interim Period Before Pillar 1 is in Effect (Oct. 21, 2021). </w:t>
      </w:r>
    </w:p>
  </w:footnote>
  <w:footnote w:id="105">
    <w:p w14:paraId="68D708C4"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06">
    <w:p w14:paraId="1C783786"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Outcome Statement on the Two-Pillar Solution to Address the Tax Challenges Arising from the Digitalisation of the Economy (July 11, 2023). </w:t>
      </w:r>
    </w:p>
  </w:footnote>
  <w:footnote w:id="107">
    <w:p w14:paraId="4AF6CDDF" w14:textId="69FF45A8"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Members of the Inclusive Framework that have approved the July 2023 Outcome Statement on the Two-Pillar Solution to Address the Tax Challenges Arising from the Digitalisation of the Economy as of July 11, 2023.</w:t>
      </w:r>
    </w:p>
  </w:footnote>
  <w:footnote w:id="108">
    <w:p w14:paraId="7944B4B5"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Dept. Finance Canada, Statement by the Deputy Prime Minister on International Tax Reforms Negotiations (July 12, 2023). </w:t>
      </w:r>
    </w:p>
  </w:footnote>
  <w:footnote w:id="109">
    <w:p w14:paraId="5BD575A5"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10">
    <w:p w14:paraId="270F1861" w14:textId="48B83BDD"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 xml:space="preserve">OECD, Tax Challenges Arising from Digitalisation – Report on Pillar One Blueprint </w:t>
      </w:r>
      <w:r w:rsidRPr="00A62B70">
        <w:rPr>
          <w:rFonts w:asciiTheme="minorHAnsi" w:hAnsiTheme="minorHAnsi" w:cstheme="minorHAnsi"/>
          <w:sz w:val="18"/>
          <w:szCs w:val="18"/>
        </w:rPr>
        <w:t>12 (2020) [hereinafter Pillar I Blueprint].</w:t>
      </w:r>
    </w:p>
  </w:footnote>
  <w:footnote w:id="111">
    <w:p w14:paraId="09270820" w14:textId="0FD05710"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A Group is “an Ultimate Parent Entity and any other Entities whose assets, liabilities, income, expenses and cash flows are included in the Consolidated Financial Statements of the Ultimate Parent Entity or would have been so included if the Ultimate Parent Entity had prepared Consolidated Financial Statements.” </w:t>
      </w:r>
      <w:r w:rsidRPr="00A62B70">
        <w:rPr>
          <w:rFonts w:asciiTheme="minorHAnsi" w:hAnsiTheme="minorHAnsi" w:cstheme="minorHAnsi"/>
          <w:smallCaps/>
          <w:sz w:val="18"/>
          <w:szCs w:val="18"/>
        </w:rPr>
        <w:t>OECD, The Multilateral Convention to Implement Amount A of Pillar One</w:t>
      </w:r>
      <w:r w:rsidRPr="00A62B70">
        <w:rPr>
          <w:rFonts w:asciiTheme="minorHAnsi" w:hAnsiTheme="minorHAnsi" w:cstheme="minorHAnsi"/>
          <w:sz w:val="18"/>
          <w:szCs w:val="18"/>
        </w:rPr>
        <w:t xml:space="preserve"> art. 2(w) (2023). </w:t>
      </w:r>
    </w:p>
  </w:footnote>
  <w:footnote w:id="112">
    <w:p w14:paraId="396F60A8" w14:textId="504D4464"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3. </w:t>
      </w:r>
    </w:p>
  </w:footnote>
  <w:footnote w:id="113">
    <w:p w14:paraId="00DBED3E" w14:textId="3F459E8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arts. 6 &amp; 7. </w:t>
      </w:r>
    </w:p>
  </w:footnote>
  <w:footnote w:id="114">
    <w:p w14:paraId="10291FB2" w14:textId="6CE0421D"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2(b). </w:t>
      </w:r>
    </w:p>
  </w:footnote>
  <w:footnote w:id="115">
    <w:p w14:paraId="14B19DAD" w14:textId="725549E5"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2(d).</w:t>
      </w:r>
    </w:p>
  </w:footnote>
  <w:footnote w:id="116">
    <w:p w14:paraId="7CFAA2B0" w14:textId="4D00BDAB"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5.</w:t>
      </w:r>
    </w:p>
  </w:footnote>
  <w:footnote w:id="117">
    <w:p w14:paraId="36404245" w14:textId="30791D1E"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9–11.</w:t>
      </w:r>
    </w:p>
  </w:footnote>
  <w:footnote w:id="118">
    <w:p w14:paraId="5A3B2AC1" w14:textId="315ED321"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12. </w:t>
      </w:r>
    </w:p>
  </w:footnote>
  <w:footnote w:id="119">
    <w:p w14:paraId="2AE41837" w14:textId="550934C0"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Tax Challenges Arising from the Digitalisation of the Economy–Global Anti-Base Erosion Model Rules (Pillar Two) art. 1.1.1 (Dec. 14, 2021) [hereinafter Pillar II Model Rules].  Generally, an MNE Group is “a collection of Entities that are related through ownership or control such that the assets, liabilities, income, expenses and cash flows of those Entities: (a) are included in the Consolidated Financial Statements of the Ultimate Parent Entity; or (b) are excluded from the Consolidated Financial Statements of the Ultimate Parent Entity solely on size or materiality grounds, or on the grounds that the Entity is held for sale.”</w:t>
      </w:r>
    </w:p>
  </w:footnote>
  <w:footnote w:id="120">
    <w:p w14:paraId="0B81B141"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3.</w:t>
      </w:r>
    </w:p>
  </w:footnote>
  <w:footnote w:id="121">
    <w:p w14:paraId="0979B1BB"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4.</w:t>
      </w:r>
    </w:p>
  </w:footnote>
  <w:footnote w:id="122">
    <w:p w14:paraId="1CA3FF5E"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5.1.1.</w:t>
      </w:r>
    </w:p>
  </w:footnote>
  <w:footnote w:id="123">
    <w:p w14:paraId="5A8887F9"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5.2.1.</w:t>
      </w:r>
    </w:p>
  </w:footnote>
  <w:footnote w:id="124">
    <w:p w14:paraId="42D53898"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art. 5.2.2.  The Substance-based Income Exclusion is essentially a deemed routine profit return with respect to the MNE Group’s payroll and tangible assets. </w:t>
      </w:r>
    </w:p>
  </w:footnote>
  <w:footnote w:id="125">
    <w:p w14:paraId="08E8F098"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5.2.3.</w:t>
      </w:r>
    </w:p>
  </w:footnote>
  <w:footnote w:id="126">
    <w:p w14:paraId="6B62B4BC"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3.1.2.</w:t>
      </w:r>
    </w:p>
  </w:footnote>
  <w:footnote w:id="127">
    <w:p w14:paraId="44BC6F02"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3.2.7.</w:t>
      </w:r>
    </w:p>
  </w:footnote>
  <w:footnote w:id="128">
    <w:p w14:paraId="0BFB69FC"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3.2.3</w:t>
      </w:r>
    </w:p>
  </w:footnote>
  <w:footnote w:id="129">
    <w:p w14:paraId="471D9C3F"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See, e.g., id. </w:t>
      </w:r>
      <w:r w:rsidRPr="00A62B70">
        <w:rPr>
          <w:rFonts w:asciiTheme="minorHAnsi" w:hAnsiTheme="minorHAnsi" w:cstheme="minorHAnsi"/>
          <w:sz w:val="18"/>
          <w:szCs w:val="18"/>
        </w:rPr>
        <w:t>arts. 6.2.1(c); 9.1.3.</w:t>
      </w:r>
    </w:p>
  </w:footnote>
  <w:footnote w:id="130">
    <w:p w14:paraId="56000376"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3.4.</w:t>
      </w:r>
    </w:p>
  </w:footnote>
  <w:footnote w:id="131">
    <w:p w14:paraId="5991B941"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4.4.</w:t>
      </w:r>
    </w:p>
  </w:footnote>
  <w:footnote w:id="132">
    <w:p w14:paraId="06EA7F0E" w14:textId="6B88F916"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4.4.1.</w:t>
      </w:r>
    </w:p>
  </w:footnote>
  <w:footnote w:id="133">
    <w:p w14:paraId="6D18FC99"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34">
    <w:p w14:paraId="729F627B"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4.4.4.</w:t>
      </w:r>
    </w:p>
  </w:footnote>
  <w:footnote w:id="135">
    <w:p w14:paraId="467CE853"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art. 4.1.2.</w:t>
      </w:r>
    </w:p>
  </w:footnote>
  <w:footnote w:id="136">
    <w:p w14:paraId="40E99FB4" w14:textId="058AC63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 xml:space="preserve">OECD, Tax Challenges Arising from the Digitalisation of the Economy – Administrative Guidance on the Global Anti-Base Erosion Model Rules (Pillar Two) </w:t>
      </w:r>
      <w:r w:rsidRPr="00A62B70">
        <w:rPr>
          <w:rFonts w:asciiTheme="minorHAnsi" w:hAnsiTheme="minorHAnsi" w:cstheme="minorHAnsi"/>
          <w:sz w:val="18"/>
          <w:szCs w:val="18"/>
        </w:rPr>
        <w:t>63(Feb. 1, 2023) [hereinafter February 2023 Administrative Guidance].</w:t>
      </w:r>
    </w:p>
  </w:footnote>
  <w:footnote w:id="137">
    <w:p w14:paraId="5DA09747" w14:textId="582029B6"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 xml:space="preserve">OECD, Tax Challenges Arising from the Digitalisation of the Economy – Administrative Guidance on the Global Anti-Base Erosion Model Rules (Pillar Two) </w:t>
      </w:r>
      <w:r w:rsidRPr="00A62B70">
        <w:rPr>
          <w:rFonts w:asciiTheme="minorHAnsi" w:hAnsiTheme="minorHAnsi" w:cstheme="minorHAnsi"/>
          <w:sz w:val="18"/>
          <w:szCs w:val="18"/>
        </w:rPr>
        <w:t>31–32 (July 13, 2023) [hereinafter July 2023 Administrative Guidance].</w:t>
      </w:r>
    </w:p>
  </w:footnote>
  <w:footnote w:id="138">
    <w:p w14:paraId="74D8654B"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Pillar II Model Rules, art. 4.3.1.</w:t>
      </w:r>
    </w:p>
  </w:footnote>
  <w:footnote w:id="139">
    <w:p w14:paraId="2CB2DAAB" w14:textId="23FB1DAE"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The February 2023 Administrative Guidance provided general guidance for allocating taxes with respect to a U.S. shareholder’s global intangible low taxed income, included under Code Sec. 951A, </w:t>
      </w:r>
      <w:r w:rsidRPr="00A62B70">
        <w:rPr>
          <w:rFonts w:asciiTheme="minorHAnsi" w:hAnsiTheme="minorHAnsi" w:cstheme="minorHAnsi"/>
          <w:i/>
          <w:sz w:val="18"/>
          <w:szCs w:val="18"/>
        </w:rPr>
        <w:t>see supra</w:t>
      </w:r>
      <w:r w:rsidRPr="00A62B70">
        <w:rPr>
          <w:rFonts w:asciiTheme="minorHAnsi" w:hAnsiTheme="minorHAnsi" w:cstheme="minorHAnsi"/>
          <w:sz w:val="18"/>
          <w:szCs w:val="18"/>
        </w:rPr>
        <w:t xml:space="preserve"> 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_Ref149430362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123</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but there has been no guidance with respect to the allocation of taxes with respect to a U.S. shareholder’s subpart F income, included under Code Sec. 951, or adjusted financial statement income with respect to CFCs for the purpose of the corporate alternative minimum tax under Code Sec. 55(a). </w:t>
      </w:r>
    </w:p>
  </w:footnote>
  <w:footnote w:id="140">
    <w:p w14:paraId="19A77673" w14:textId="72854EB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OECD, Tax Challenges Arising from Digitalisation – Report on Pillar Two Blueprint BEPS</w:t>
      </w:r>
      <w:r w:rsidRPr="00A62B70">
        <w:rPr>
          <w:rFonts w:asciiTheme="minorHAnsi" w:hAnsiTheme="minorHAnsi" w:cstheme="minorHAnsi"/>
          <w:sz w:val="18"/>
          <w:szCs w:val="18"/>
        </w:rPr>
        <w:t>(2020) [hereinafter Pillar II Blueprint].</w:t>
      </w:r>
    </w:p>
  </w:footnote>
  <w:footnote w:id="141">
    <w:p w14:paraId="4877E17C"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at 14. </w:t>
      </w:r>
    </w:p>
  </w:footnote>
  <w:footnote w:id="142">
    <w:p w14:paraId="3A12255E" w14:textId="041715D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at 133, 141 n.6, &amp; 143 n.32. </w:t>
      </w:r>
    </w:p>
  </w:footnote>
  <w:footnote w:id="143">
    <w:p w14:paraId="65306063" w14:textId="04AE456F"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128–129. </w:t>
      </w:r>
    </w:p>
  </w:footnote>
  <w:footnote w:id="144">
    <w:p w14:paraId="0BEE9C9F"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45">
    <w:p w14:paraId="5BFB2D64"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p>
  </w:footnote>
  <w:footnote w:id="146">
    <w:p w14:paraId="4E0946EB"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124.</w:t>
      </w:r>
    </w:p>
  </w:footnote>
  <w:footnote w:id="147">
    <w:p w14:paraId="54F28D4C" w14:textId="73AE547B"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October 2021 Statement,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_Ref149463786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87</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w:t>
      </w:r>
    </w:p>
  </w:footnote>
  <w:footnote w:id="148">
    <w:p w14:paraId="782373F9"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Pillar II Model Rules, art. 2.6.1.</w:t>
      </w:r>
    </w:p>
  </w:footnote>
  <w:footnote w:id="149">
    <w:p w14:paraId="03250FB9"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50">
    <w:p w14:paraId="3FD8CDDA" w14:textId="2F7F8EF1"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art. 2.4.  To the extent that deduction denial was insufficient to achieve an increase to tax equal to the Top-Up Tax allocated to the jurisdiction, the difference would carry forward and apply to deny deductions in a subsequent year.  </w:t>
      </w:r>
      <w:r w:rsidRPr="00A62B70">
        <w:rPr>
          <w:rFonts w:asciiTheme="minorHAnsi" w:hAnsiTheme="minorHAnsi" w:cstheme="minorHAnsi"/>
          <w:i/>
          <w:sz w:val="18"/>
          <w:szCs w:val="18"/>
        </w:rPr>
        <w:t xml:space="preserve">Id. </w:t>
      </w:r>
    </w:p>
  </w:footnote>
  <w:footnote w:id="151">
    <w:p w14:paraId="7B5DED06" w14:textId="015F8FE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 xml:space="preserve">OECD, Tax Challenges Arising from the Digitalisation of the Economy – Commentary to the Global Anti-Base Erosion Model Rules (Pillar Two) </w:t>
      </w:r>
      <w:r w:rsidRPr="00A62B70">
        <w:rPr>
          <w:rFonts w:asciiTheme="minorHAnsi" w:hAnsiTheme="minorHAnsi" w:cstheme="minorHAnsi"/>
          <w:sz w:val="18"/>
          <w:szCs w:val="18"/>
        </w:rPr>
        <w:t xml:space="preserve">(Mar. 2022) [hereinafter March 2022 Commentary]. </w:t>
      </w:r>
    </w:p>
  </w:footnote>
  <w:footnote w:id="152">
    <w:p w14:paraId="5D5B054D"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Pillar II Model Rules, art. 2.4.1.</w:t>
      </w:r>
    </w:p>
  </w:footnote>
  <w:footnote w:id="153">
    <w:p w14:paraId="07E73A36" w14:textId="01EBE7D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March 2022 Commentary,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_Ref149430173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138</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32. </w:t>
      </w:r>
    </w:p>
  </w:footnote>
  <w:footnote w:id="154">
    <w:p w14:paraId="4CB0D7EC" w14:textId="5229C340"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July 2023 Administrative Guidance,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_Ref149430213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124</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at 77–78.</w:t>
      </w:r>
    </w:p>
  </w:footnote>
  <w:footnote w:id="155">
    <w:p w14:paraId="37585C51"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77. </w:t>
      </w:r>
    </w:p>
  </w:footnote>
  <w:footnote w:id="156">
    <w:p w14:paraId="53DA5243"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57">
    <w:p w14:paraId="7992AF13" w14:textId="6E1BCF44"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at 81–83. </w:t>
      </w:r>
    </w:p>
  </w:footnote>
  <w:footnote w:id="158">
    <w:p w14:paraId="0B536AD6" w14:textId="3BEB45EF"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87–88. </w:t>
      </w:r>
    </w:p>
  </w:footnote>
  <w:footnote w:id="159">
    <w:p w14:paraId="1A363BD5"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r w:rsidRPr="00A62B70">
        <w:rPr>
          <w:rFonts w:asciiTheme="minorHAnsi" w:hAnsiTheme="minorHAnsi" w:cstheme="minorHAnsi"/>
          <w:sz w:val="18"/>
          <w:szCs w:val="18"/>
        </w:rPr>
        <w:t xml:space="preserve"> at 88. </w:t>
      </w:r>
    </w:p>
  </w:footnote>
  <w:footnote w:id="160">
    <w:p w14:paraId="2DA214AD" w14:textId="1B4E6814"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1; U.S.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1.</w:t>
      </w:r>
    </w:p>
  </w:footnote>
  <w:footnote w:id="161">
    <w:p w14:paraId="3DFFF076" w14:textId="2F4A6094"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1; U.S.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art. 1.</w:t>
      </w:r>
    </w:p>
  </w:footnote>
  <w:footnote w:id="162">
    <w:p w14:paraId="1EB8C0E0" w14:textId="5367C955"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OECD Treaty Commentary,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_Ref149430437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art. 2, para. 3. </w:t>
      </w:r>
    </w:p>
  </w:footnote>
  <w:footnote w:id="163">
    <w:p w14:paraId="30CC1B55" w14:textId="3B03CF5D"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64">
    <w:p w14:paraId="21414A12" w14:textId="4CF1E52E"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Compare [US-UK Treaty; US-France Treaty] with [US-Netherlands Treaty].</w:t>
      </w:r>
    </w:p>
  </w:footnote>
  <w:footnote w:id="165">
    <w:p w14:paraId="60C3653C" w14:textId="671487E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[1997] BTC 471; </w:t>
      </w:r>
      <w:r w:rsidRPr="00A62B70">
        <w:rPr>
          <w:rFonts w:asciiTheme="minorHAnsi" w:hAnsiTheme="minorHAnsi" w:cstheme="minorHAnsi"/>
          <w:i/>
          <w:sz w:val="18"/>
          <w:szCs w:val="18"/>
        </w:rPr>
        <w:t>see also</w:t>
      </w:r>
      <w:r w:rsidRPr="00A62B70">
        <w:rPr>
          <w:rFonts w:asciiTheme="minorHAnsi" w:hAnsiTheme="minorHAnsi" w:cstheme="minorHAnsi"/>
          <w:sz w:val="18"/>
          <w:szCs w:val="18"/>
        </w:rPr>
        <w:t xml:space="preserve"> Stuart MacLennan, </w:t>
      </w:r>
      <w:r w:rsidRPr="00A62B70">
        <w:rPr>
          <w:rFonts w:asciiTheme="minorHAnsi" w:hAnsiTheme="minorHAnsi" w:cstheme="minorHAnsi"/>
          <w:i/>
          <w:sz w:val="18"/>
          <w:szCs w:val="18"/>
        </w:rPr>
        <w:t>The Questionable Legality of the Diverted Profits Tax Under Double Taxation Conventions and EU Law</w:t>
      </w:r>
      <w:r w:rsidRPr="00A62B70">
        <w:rPr>
          <w:rFonts w:asciiTheme="minorHAnsi" w:hAnsiTheme="minorHAnsi" w:cstheme="minorHAnsi"/>
          <w:sz w:val="18"/>
          <w:szCs w:val="18"/>
        </w:rPr>
        <w:t xml:space="preserve">, 44 </w:t>
      </w:r>
      <w:r w:rsidRPr="00A62B70">
        <w:rPr>
          <w:rFonts w:asciiTheme="minorHAnsi" w:hAnsiTheme="minorHAnsi" w:cstheme="minorHAnsi"/>
          <w:smallCaps/>
          <w:sz w:val="18"/>
          <w:szCs w:val="18"/>
        </w:rPr>
        <w:t>Intertax</w:t>
      </w:r>
      <w:r w:rsidRPr="00A62B70">
        <w:rPr>
          <w:rFonts w:asciiTheme="minorHAnsi" w:hAnsiTheme="minorHAnsi" w:cstheme="minorHAnsi"/>
          <w:sz w:val="18"/>
          <w:szCs w:val="18"/>
        </w:rPr>
        <w:t xml:space="preserve"> 903–12 (2016) (discussing the </w:t>
      </w:r>
      <w:r w:rsidRPr="00A62B70">
        <w:rPr>
          <w:rFonts w:asciiTheme="minorHAnsi" w:hAnsiTheme="minorHAnsi" w:cstheme="minorHAnsi"/>
          <w:i/>
          <w:sz w:val="18"/>
          <w:szCs w:val="18"/>
        </w:rPr>
        <w:t>Bricom</w:t>
      </w:r>
      <w:r w:rsidRPr="00A62B70">
        <w:rPr>
          <w:rFonts w:asciiTheme="minorHAnsi" w:hAnsiTheme="minorHAnsi" w:cstheme="minorHAnsi"/>
          <w:sz w:val="18"/>
          <w:szCs w:val="18"/>
        </w:rPr>
        <w:t xml:space="preserve"> case with relevance to the DPT). </w:t>
      </w:r>
    </w:p>
  </w:footnote>
  <w:footnote w:id="166">
    <w:p w14:paraId="430FA0B0" w14:textId="19AF03C9"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color w:val="000000"/>
          <w:sz w:val="18"/>
          <w:szCs w:val="18"/>
        </w:rPr>
        <w:t xml:space="preserve">Katherine E. Karnosh, </w:t>
      </w:r>
      <w:r w:rsidRPr="00A62B70">
        <w:rPr>
          <w:rFonts w:asciiTheme="minorHAnsi" w:hAnsiTheme="minorHAnsi" w:cstheme="minorHAnsi"/>
          <w:i/>
          <w:color w:val="000000"/>
          <w:sz w:val="18"/>
          <w:szCs w:val="18"/>
        </w:rPr>
        <w:t>The Application of International Tax Treaties to Digital Services Taxes</w:t>
      </w:r>
      <w:r w:rsidRPr="00A62B70">
        <w:rPr>
          <w:rFonts w:asciiTheme="minorHAnsi" w:hAnsiTheme="minorHAnsi" w:cstheme="minorHAnsi"/>
          <w:color w:val="000000"/>
          <w:sz w:val="18"/>
          <w:szCs w:val="18"/>
        </w:rPr>
        <w:t xml:space="preserve">, 21 </w:t>
      </w:r>
      <w:r w:rsidRPr="00A62B70">
        <w:rPr>
          <w:rFonts w:asciiTheme="minorHAnsi" w:hAnsiTheme="minorHAnsi" w:cstheme="minorHAnsi"/>
          <w:smallCaps/>
          <w:color w:val="000000"/>
          <w:sz w:val="18"/>
          <w:szCs w:val="18"/>
        </w:rPr>
        <w:t xml:space="preserve">Chi. J. Int’l L. </w:t>
      </w:r>
      <w:r w:rsidRPr="00A62B70">
        <w:rPr>
          <w:rFonts w:asciiTheme="minorHAnsi" w:hAnsiTheme="minorHAnsi" w:cstheme="minorHAnsi"/>
          <w:color w:val="000000"/>
          <w:sz w:val="18"/>
          <w:szCs w:val="18"/>
        </w:rPr>
        <w:t xml:space="preserve">513 (2021) (arguing that DSTs should be viewed as consumption taxes that are not covered under international tax treaties). </w:t>
      </w:r>
    </w:p>
  </w:footnote>
  <w:footnote w:id="167">
    <w:p w14:paraId="49945D5F" w14:textId="4FA3AB3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USTR France DST Report,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_Ref149430721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88</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64; </w:t>
      </w:r>
      <w:r w:rsidRPr="00A62B70">
        <w:rPr>
          <w:rFonts w:asciiTheme="minorHAnsi" w:hAnsiTheme="minorHAnsi" w:cstheme="minorHAnsi"/>
          <w:smallCaps/>
          <w:sz w:val="18"/>
          <w:szCs w:val="18"/>
        </w:rPr>
        <w:t>USTR, Report on the United Kingdom’s Digital Services Tax Prepared in the Investigation under Section 301 of the Trade Act of 1974</w:t>
      </w:r>
      <w:r w:rsidRPr="00A62B70">
        <w:rPr>
          <w:rFonts w:asciiTheme="minorHAnsi" w:hAnsiTheme="minorHAnsi" w:cstheme="minorHAnsi"/>
          <w:sz w:val="18"/>
          <w:szCs w:val="18"/>
        </w:rPr>
        <w:t>, at 19 (Jan. 13, 2021) [hereinafter USTR UK DST Report].</w:t>
      </w:r>
    </w:p>
  </w:footnote>
  <w:footnote w:id="168">
    <w:p w14:paraId="5BCEF2C1" w14:textId="6A95726F"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color w:val="000000"/>
          <w:sz w:val="18"/>
          <w:szCs w:val="18"/>
        </w:rPr>
        <w:t xml:space="preserve">Karnosh, </w:t>
      </w:r>
      <w:r w:rsidRPr="00A62B70">
        <w:rPr>
          <w:rFonts w:asciiTheme="minorHAnsi" w:hAnsiTheme="minorHAnsi" w:cstheme="minorHAnsi"/>
          <w:i/>
          <w:color w:val="000000"/>
          <w:sz w:val="18"/>
          <w:szCs w:val="18"/>
        </w:rPr>
        <w:t xml:space="preserve">supra </w:t>
      </w:r>
      <w:r w:rsidRPr="00A62B70">
        <w:rPr>
          <w:rFonts w:asciiTheme="minorHAnsi" w:hAnsiTheme="minorHAnsi" w:cstheme="minorHAnsi"/>
          <w:color w:val="000000"/>
          <w:sz w:val="18"/>
          <w:szCs w:val="18"/>
        </w:rPr>
        <w:t xml:space="preserve">note </w:t>
      </w:r>
      <w:r w:rsidRPr="00A62B70">
        <w:rPr>
          <w:rFonts w:asciiTheme="minorHAnsi" w:hAnsiTheme="minorHAnsi" w:cstheme="minorHAnsi"/>
          <w:color w:val="000000"/>
          <w:sz w:val="18"/>
          <w:szCs w:val="18"/>
        </w:rPr>
        <w:fldChar w:fldCharType="begin"/>
      </w:r>
      <w:r w:rsidRPr="00A62B70">
        <w:rPr>
          <w:rFonts w:asciiTheme="minorHAnsi" w:hAnsiTheme="minorHAnsi" w:cstheme="minorHAnsi"/>
          <w:color w:val="000000"/>
          <w:sz w:val="18"/>
          <w:szCs w:val="18"/>
        </w:rPr>
        <w:instrText xml:space="preserve"> NOTEREF _Ref149034041 \h  \* MERGEFORMAT </w:instrText>
      </w:r>
      <w:r w:rsidRPr="00A62B70">
        <w:rPr>
          <w:rFonts w:asciiTheme="minorHAnsi" w:hAnsiTheme="minorHAnsi" w:cstheme="minorHAnsi"/>
          <w:color w:val="000000"/>
          <w:sz w:val="18"/>
          <w:szCs w:val="18"/>
        </w:rPr>
      </w:r>
      <w:r w:rsidRPr="00A62B70">
        <w:rPr>
          <w:rFonts w:asciiTheme="minorHAnsi" w:hAnsiTheme="minorHAnsi" w:cstheme="minorHAnsi"/>
          <w:color w:val="000000"/>
          <w:sz w:val="18"/>
          <w:szCs w:val="18"/>
        </w:rPr>
        <w:fldChar w:fldCharType="separate"/>
      </w:r>
      <w:r w:rsidRPr="00A62B70">
        <w:rPr>
          <w:rFonts w:asciiTheme="minorHAnsi" w:hAnsiTheme="minorHAnsi" w:cstheme="minorHAnsi"/>
          <w:color w:val="000000"/>
          <w:sz w:val="18"/>
          <w:szCs w:val="18"/>
        </w:rPr>
        <w:t>153</w:t>
      </w:r>
      <w:r w:rsidRPr="00A62B70">
        <w:rPr>
          <w:rFonts w:asciiTheme="minorHAnsi" w:hAnsiTheme="minorHAnsi" w:cstheme="minorHAnsi"/>
          <w:color w:val="000000"/>
          <w:sz w:val="18"/>
          <w:szCs w:val="18"/>
        </w:rPr>
        <w:fldChar w:fldCharType="end"/>
      </w:r>
      <w:r w:rsidRPr="00A62B70">
        <w:rPr>
          <w:rFonts w:asciiTheme="minorHAnsi" w:hAnsiTheme="minorHAnsi" w:cstheme="minorHAnsi"/>
          <w:color w:val="000000"/>
          <w:sz w:val="18"/>
          <w:szCs w:val="18"/>
        </w:rPr>
        <w:t>.</w:t>
      </w:r>
    </w:p>
  </w:footnote>
  <w:footnote w:id="169">
    <w:p w14:paraId="2D43CFE0"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r w:rsidRPr="00A62B70">
        <w:rPr>
          <w:rFonts w:asciiTheme="minorHAnsi" w:hAnsiTheme="minorHAnsi" w:cstheme="minorHAnsi"/>
          <w:sz w:val="18"/>
          <w:szCs w:val="18"/>
        </w:rPr>
        <w:t xml:space="preserve">at </w:t>
      </w:r>
    </w:p>
  </w:footnote>
  <w:footnote w:id="170">
    <w:p w14:paraId="1D8A7E39" w14:textId="187847B6"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USTR France DST Report,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_Ref149430721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88</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55; USTR UK DST Report,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_Ref149034824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154</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18–19. </w:t>
      </w:r>
    </w:p>
  </w:footnote>
  <w:footnote w:id="171">
    <w:p w14:paraId="65190CDF" w14:textId="679B9D4C"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E.g.</w:t>
      </w:r>
      <w:r w:rsidRPr="00A62B70">
        <w:rPr>
          <w:rFonts w:asciiTheme="minorHAnsi" w:hAnsiTheme="minorHAnsi" w:cstheme="minorHAnsi"/>
          <w:sz w:val="18"/>
          <w:szCs w:val="18"/>
        </w:rPr>
        <w:t xml:space="preserve">, USTR France DST Report,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_Ref149430721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88</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at 55; USTR UK DST Report,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_Ref149034824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154</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at 18–19.</w:t>
      </w:r>
    </w:p>
  </w:footnote>
  <w:footnote w:id="172">
    <w:p w14:paraId="0D0FC1BF" w14:textId="30A49363"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Allison Christians &amp; Stephen E. Shay, </w:t>
      </w:r>
      <w:r w:rsidRPr="00A62B70">
        <w:rPr>
          <w:rFonts w:asciiTheme="minorHAnsi" w:hAnsiTheme="minorHAnsi" w:cstheme="minorHAnsi"/>
          <w:i/>
          <w:sz w:val="18"/>
          <w:szCs w:val="18"/>
        </w:rPr>
        <w:t>The Consistency of Pillar 2 UTPR With U.S. Bilateral Tax Treaties</w:t>
      </w:r>
      <w:r w:rsidRPr="00A62B70">
        <w:rPr>
          <w:rFonts w:asciiTheme="minorHAnsi" w:hAnsiTheme="minorHAnsi" w:cstheme="minorHAnsi"/>
          <w:sz w:val="18"/>
          <w:szCs w:val="18"/>
        </w:rPr>
        <w:t xml:space="preserve">, 109 </w:t>
      </w:r>
      <w:r w:rsidRPr="00A62B70">
        <w:rPr>
          <w:rFonts w:asciiTheme="minorHAnsi" w:hAnsiTheme="minorHAnsi" w:cstheme="minorHAnsi"/>
          <w:smallCaps/>
          <w:sz w:val="18"/>
          <w:szCs w:val="18"/>
        </w:rPr>
        <w:t>Tax Notes Int’l</w:t>
      </w:r>
      <w:r w:rsidRPr="00A62B70">
        <w:rPr>
          <w:rFonts w:asciiTheme="minorHAnsi" w:hAnsiTheme="minorHAnsi" w:cstheme="minorHAnsi"/>
          <w:sz w:val="18"/>
          <w:szCs w:val="18"/>
        </w:rPr>
        <w:t xml:space="preserve"> 447–49 (Jan. 23, 2023).</w:t>
      </w:r>
    </w:p>
  </w:footnote>
  <w:footnote w:id="173">
    <w:p w14:paraId="30888418"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Id.</w:t>
      </w:r>
    </w:p>
  </w:footnote>
  <w:footnote w:id="174">
    <w:p w14:paraId="0040600B"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75">
    <w:p w14:paraId="40B138DF" w14:textId="3F43AD1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Angelo Nikolakakis &amp; Jinyan Li, </w:t>
      </w:r>
      <w:r w:rsidRPr="00A62B70">
        <w:rPr>
          <w:rFonts w:asciiTheme="minorHAnsi" w:hAnsiTheme="minorHAnsi" w:cstheme="minorHAnsi"/>
          <w:i/>
          <w:sz w:val="18"/>
          <w:szCs w:val="18"/>
        </w:rPr>
        <w:t>UTPR: Unprecedented (and Unprincipled?) Tax Policy Response</w:t>
      </w:r>
      <w:r w:rsidRPr="00A62B70">
        <w:rPr>
          <w:rFonts w:asciiTheme="minorHAnsi" w:hAnsiTheme="minorHAnsi" w:cstheme="minorHAnsi"/>
          <w:sz w:val="18"/>
          <w:szCs w:val="18"/>
        </w:rPr>
        <w:t xml:space="preserve">, 109 </w:t>
      </w:r>
      <w:r w:rsidRPr="00A62B70">
        <w:rPr>
          <w:rFonts w:asciiTheme="minorHAnsi" w:hAnsiTheme="minorHAnsi" w:cstheme="minorHAnsi"/>
          <w:smallCaps/>
          <w:sz w:val="18"/>
          <w:szCs w:val="18"/>
        </w:rPr>
        <w:t>Tax Notes Int’l</w:t>
      </w:r>
      <w:r w:rsidRPr="00A62B70">
        <w:rPr>
          <w:rFonts w:asciiTheme="minorHAnsi" w:hAnsiTheme="minorHAnsi" w:cstheme="minorHAnsi"/>
          <w:sz w:val="18"/>
          <w:szCs w:val="18"/>
        </w:rPr>
        <w:t xml:space="preserve"> 745 (Feb. 6, 2023). </w:t>
      </w:r>
    </w:p>
  </w:footnote>
  <w:footnote w:id="176">
    <w:p w14:paraId="69DFA9AA" w14:textId="25161849"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Allison Christians &amp; Tarcísio Diniz Magalhães, </w:t>
      </w:r>
      <w:r w:rsidRPr="00A62B70">
        <w:rPr>
          <w:rFonts w:asciiTheme="minorHAnsi" w:hAnsiTheme="minorHAnsi" w:cstheme="minorHAnsi"/>
          <w:i/>
          <w:sz w:val="18"/>
          <w:szCs w:val="18"/>
        </w:rPr>
        <w:t>Undertaxed Profits and the Use-It-or-Lose-It Principle</w:t>
      </w:r>
      <w:r w:rsidRPr="00A62B70">
        <w:rPr>
          <w:rFonts w:asciiTheme="minorHAnsi" w:hAnsiTheme="minorHAnsi" w:cstheme="minorHAnsi"/>
          <w:sz w:val="18"/>
          <w:szCs w:val="18"/>
        </w:rPr>
        <w:t xml:space="preserve">, </w:t>
      </w:r>
      <w:r w:rsidRPr="00A62B70">
        <w:rPr>
          <w:rFonts w:asciiTheme="minorHAnsi" w:hAnsiTheme="minorHAnsi" w:cstheme="minorHAnsi"/>
          <w:smallCaps/>
          <w:sz w:val="18"/>
          <w:szCs w:val="18"/>
        </w:rPr>
        <w:t>Tax Notes Int’l 705</w:t>
      </w:r>
      <w:r w:rsidRPr="00A62B70">
        <w:rPr>
          <w:rFonts w:asciiTheme="minorHAnsi" w:hAnsiTheme="minorHAnsi" w:cstheme="minorHAnsi"/>
          <w:sz w:val="18"/>
          <w:szCs w:val="18"/>
        </w:rPr>
        <w:t xml:space="preserve"> (Nov. 7, 2022).</w:t>
      </w:r>
    </w:p>
  </w:footnote>
  <w:footnote w:id="177">
    <w:p w14:paraId="447CC124" w14:textId="77777777" w:rsidR="00794C7D" w:rsidRPr="00A62B70" w:rsidRDefault="00794C7D" w:rsidP="00A62B70">
      <w:pPr>
        <w:pStyle w:val="FootnoteText"/>
        <w:spacing w:before="120"/>
        <w:rPr>
          <w:rFonts w:asciiTheme="minorHAnsi" w:hAnsiTheme="minorHAnsi" w:cstheme="minorHAnsi"/>
          <w: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 xml:space="preserve">Id. </w:t>
      </w:r>
    </w:p>
  </w:footnote>
  <w:footnote w:id="178">
    <w:p w14:paraId="010A4884" w14:textId="4FD4A03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See, e.g.</w:t>
      </w:r>
      <w:r w:rsidRPr="00A62B70">
        <w:rPr>
          <w:rFonts w:asciiTheme="minorHAnsi" w:hAnsiTheme="minorHAnsi" w:cstheme="minorHAnsi"/>
          <w:sz w:val="18"/>
          <w:szCs w:val="18"/>
        </w:rPr>
        <w:t xml:space="preserve">, </w:t>
      </w:r>
      <w:r w:rsidRPr="00A62B70">
        <w:rPr>
          <w:rFonts w:asciiTheme="minorHAnsi" w:hAnsiTheme="minorHAnsi" w:cstheme="minorHAnsi"/>
          <w:i/>
          <w:iCs/>
          <w:sz w:val="18"/>
          <w:szCs w:val="18"/>
        </w:rPr>
        <w:t>Giesecke &amp; Devrient (India) Pvt. Ltd. v. Additional Commissioner of Income Tax</w:t>
      </w:r>
      <w:r w:rsidRPr="00A62B70">
        <w:rPr>
          <w:rFonts w:asciiTheme="minorHAnsi" w:hAnsiTheme="minorHAnsi" w:cstheme="minorHAnsi"/>
          <w:sz w:val="18"/>
          <w:szCs w:val="18"/>
        </w:rPr>
        <w:t xml:space="preserve"> (Oct. 12, 2020) (decision by the Delhi bench of the Income Tax Appellate Tribunal).</w:t>
      </w:r>
    </w:p>
  </w:footnote>
  <w:footnote w:id="179">
    <w:p w14:paraId="66EB15B4" w14:textId="09D3BA3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sidRPr="00A62B70">
        <w:rPr>
          <w:rFonts w:asciiTheme="minorHAnsi" w:hAnsiTheme="minorHAnsi" w:cstheme="minorHAnsi"/>
          <w:i/>
          <w:sz w:val="18"/>
          <w:szCs w:val="18"/>
        </w:rPr>
        <w:t>Mumbai v. Total Oil India Pvt Ltd.</w:t>
      </w:r>
      <w:r w:rsidRPr="00A62B70">
        <w:rPr>
          <w:rFonts w:asciiTheme="minorHAnsi" w:hAnsiTheme="minorHAnsi" w:cstheme="minorHAnsi"/>
          <w:sz w:val="18"/>
          <w:szCs w:val="18"/>
        </w:rPr>
        <w:t xml:space="preserve"> (Apr. 20, 2023) (decision by the Mumbai bench of the Income Tax Appellate Tribunal).</w:t>
      </w:r>
    </w:p>
  </w:footnote>
  <w:footnote w:id="180">
    <w:p w14:paraId="7F6630E2" w14:textId="3FC88943"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 xml:space="preserve">, </w:t>
      </w:r>
      <w:r w:rsidRPr="009811E6">
        <w:rPr>
          <w:sz w:val="18"/>
          <w:szCs w:val="18"/>
        </w:rPr>
        <w:t xml:space="preserve">art. 24, para. 6; U.S.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 xml:space="preserve">, </w:t>
      </w:r>
      <w:r w:rsidRPr="009811E6">
        <w:rPr>
          <w:sz w:val="18"/>
          <w:szCs w:val="18"/>
        </w:rPr>
        <w:t xml:space="preserve">art. 24, para. 7. </w:t>
      </w:r>
    </w:p>
  </w:footnote>
  <w:footnote w:id="181">
    <w:p w14:paraId="0E6E38F4" w14:textId="7F86BAB6"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Model Treaty,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9811E6">
        <w:rPr>
          <w:sz w:val="18"/>
          <w:szCs w:val="18"/>
        </w:rPr>
        <w:t>art. 24, para. 1 (nationality), para. 3 (permanent establishment),</w:t>
      </w:r>
      <w:r>
        <w:rPr>
          <w:sz w:val="18"/>
          <w:szCs w:val="18"/>
        </w:rPr>
        <w:t xml:space="preserve"> &amp;</w:t>
      </w:r>
      <w:r w:rsidRPr="009811E6">
        <w:rPr>
          <w:sz w:val="18"/>
          <w:szCs w:val="18"/>
        </w:rPr>
        <w:t xml:space="preserve"> para. 5 (ownership); U.S. Model Treaty,</w:t>
      </w:r>
      <w:r>
        <w:rPr>
          <w:sz w:val="18"/>
          <w:szCs w:val="18"/>
        </w:rPr>
        <w:t xml:space="preserve">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1 (nationality), para. 2 (permanent establishment),</w:t>
      </w:r>
      <w:r>
        <w:rPr>
          <w:sz w:val="18"/>
          <w:szCs w:val="18"/>
        </w:rPr>
        <w:t xml:space="preserve"> &amp;</w:t>
      </w:r>
      <w:r w:rsidRPr="009811E6">
        <w:rPr>
          <w:sz w:val="18"/>
          <w:szCs w:val="18"/>
        </w:rPr>
        <w:t xml:space="preserve"> para. 5 (ownership).</w:t>
      </w:r>
    </w:p>
  </w:footnote>
  <w:footnote w:id="182">
    <w:p w14:paraId="358B9D04" w14:textId="00DABF2E"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Mary C. Bennett, </w:t>
      </w:r>
      <w:r w:rsidRPr="00113F92">
        <w:rPr>
          <w:i/>
          <w:sz w:val="18"/>
          <w:szCs w:val="18"/>
        </w:rPr>
        <w:t>The David R. Tillinghast Lecture Nondiscrimination in International Tax Law: A Concept in Search of a Principle</w:t>
      </w:r>
      <w:r>
        <w:rPr>
          <w:sz w:val="18"/>
          <w:szCs w:val="18"/>
        </w:rPr>
        <w:t>,</w:t>
      </w:r>
      <w:r w:rsidRPr="009811E6">
        <w:rPr>
          <w:sz w:val="18"/>
          <w:szCs w:val="18"/>
        </w:rPr>
        <w:t xml:space="preserve"> 59 </w:t>
      </w:r>
      <w:r w:rsidRPr="00113F92">
        <w:rPr>
          <w:smallCaps/>
          <w:sz w:val="18"/>
          <w:szCs w:val="18"/>
        </w:rPr>
        <w:t>Tax L. Rev.</w:t>
      </w:r>
      <w:r w:rsidRPr="009811E6">
        <w:rPr>
          <w:sz w:val="18"/>
          <w:szCs w:val="18"/>
        </w:rPr>
        <w:t xml:space="preserve"> 439, 446 (2006) (“In the case of corporations, Article 24(1) likewise has essentially no impact for U.S. income tax purposes</w:t>
      </w:r>
      <w:r>
        <w:rPr>
          <w:sz w:val="18"/>
          <w:szCs w:val="18"/>
        </w:rPr>
        <w:t>.</w:t>
      </w:r>
      <w:r w:rsidRPr="009811E6">
        <w:rPr>
          <w:sz w:val="18"/>
          <w:szCs w:val="18"/>
        </w:rPr>
        <w:t>”).</w:t>
      </w:r>
    </w:p>
  </w:footnote>
  <w:footnote w:id="183">
    <w:p w14:paraId="48137B05" w14:textId="77777777"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w:t>
      </w:r>
      <w:r w:rsidRPr="009811E6">
        <w:rPr>
          <w:i/>
          <w:sz w:val="18"/>
          <w:szCs w:val="18"/>
        </w:rPr>
        <w:t xml:space="preserve">Id. </w:t>
      </w:r>
    </w:p>
  </w:footnote>
  <w:footnote w:id="184">
    <w:p w14:paraId="2E633D1E" w14:textId="4BDB48E2"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1; US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1.</w:t>
      </w:r>
    </w:p>
  </w:footnote>
  <w:footnote w:id="185">
    <w:p w14:paraId="302C7A9F" w14:textId="50E0DAE0"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Treaty Commentary,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_Ref149430437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w:t>
      </w:r>
      <w:r w:rsidRPr="009811E6">
        <w:rPr>
          <w:sz w:val="18"/>
          <w:szCs w:val="18"/>
        </w:rPr>
        <w:t xml:space="preserve">art. 24, para. 1 lines 7 &amp; 17; Technical Explanation,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_Ref149562373 \h </w:instrText>
      </w:r>
      <w:r>
        <w:rPr>
          <w:sz w:val="18"/>
          <w:szCs w:val="18"/>
        </w:rPr>
      </w:r>
      <w:r>
        <w:rPr>
          <w:sz w:val="18"/>
          <w:szCs w:val="18"/>
        </w:rPr>
        <w:fldChar w:fldCharType="separate"/>
      </w:r>
      <w:r>
        <w:rPr>
          <w:sz w:val="18"/>
          <w:szCs w:val="18"/>
        </w:rPr>
        <w:t>31</w:t>
      </w:r>
      <w:r>
        <w:rPr>
          <w:sz w:val="18"/>
          <w:szCs w:val="18"/>
        </w:rPr>
        <w:fldChar w:fldCharType="end"/>
      </w:r>
      <w:r>
        <w:rPr>
          <w:sz w:val="18"/>
          <w:szCs w:val="18"/>
        </w:rPr>
        <w:t xml:space="preserve">, </w:t>
      </w:r>
      <w:r w:rsidRPr="009811E6">
        <w:rPr>
          <w:sz w:val="18"/>
          <w:szCs w:val="18"/>
        </w:rPr>
        <w:t xml:space="preserve">art. 24, para. 1. </w:t>
      </w:r>
    </w:p>
  </w:footnote>
  <w:footnote w:id="186">
    <w:p w14:paraId="3568ED9E" w14:textId="4D36BBB9"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U.S.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1.</w:t>
      </w:r>
    </w:p>
  </w:footnote>
  <w:footnote w:id="187">
    <w:p w14:paraId="1570A7A9" w14:textId="542169A3"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Treaty Commentary,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_Ref149430437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w:t>
      </w:r>
      <w:r w:rsidRPr="009811E6">
        <w:rPr>
          <w:sz w:val="18"/>
          <w:szCs w:val="18"/>
        </w:rPr>
        <w:t>art. 24, para. 1, line 17 (“The different treatment of residents and non-residents is a crucial feature of domestic tax systems and of tax treaties; when Article 24 is read in the context of the other Articles of the Convention, most of which provide for a different treatment of residents and non-residents, it is clear that two companies that are not residents of the same State for purposes of the Convention (under the rules of Article 4) are usually not in the same circumstances for purposes of paragraph 1</w:t>
      </w:r>
      <w:r>
        <w:rPr>
          <w:sz w:val="18"/>
          <w:szCs w:val="18"/>
        </w:rPr>
        <w:t>.</w:t>
      </w:r>
      <w:r w:rsidRPr="009811E6">
        <w:rPr>
          <w:sz w:val="18"/>
          <w:szCs w:val="18"/>
        </w:rPr>
        <w:t xml:space="preserve">”); Bennett, </w:t>
      </w:r>
      <w:r w:rsidRPr="00113F92">
        <w:rPr>
          <w:i/>
          <w:sz w:val="18"/>
          <w:szCs w:val="18"/>
        </w:rPr>
        <w:t xml:space="preserve">supra </w:t>
      </w:r>
      <w:r w:rsidRPr="009811E6">
        <w:rPr>
          <w:sz w:val="18"/>
          <w:szCs w:val="18"/>
        </w:rPr>
        <w:t xml:space="preserve">note </w:t>
      </w:r>
      <w:r w:rsidRPr="009811E6">
        <w:rPr>
          <w:sz w:val="18"/>
          <w:szCs w:val="18"/>
        </w:rPr>
        <w:fldChar w:fldCharType="begin"/>
      </w:r>
      <w:r w:rsidRPr="009811E6">
        <w:rPr>
          <w:sz w:val="18"/>
          <w:szCs w:val="18"/>
        </w:rPr>
        <w:instrText xml:space="preserve"> NOTEREF _Ref149493746 \h </w:instrText>
      </w:r>
      <w:r>
        <w:rPr>
          <w:sz w:val="18"/>
          <w:szCs w:val="18"/>
        </w:rPr>
        <w:instrText xml:space="preserve"> \* MERGEFORMAT </w:instrText>
      </w:r>
      <w:r w:rsidRPr="009811E6">
        <w:rPr>
          <w:sz w:val="18"/>
          <w:szCs w:val="18"/>
        </w:rPr>
      </w:r>
      <w:r w:rsidRPr="009811E6">
        <w:rPr>
          <w:sz w:val="18"/>
          <w:szCs w:val="18"/>
        </w:rPr>
        <w:fldChar w:fldCharType="separate"/>
      </w:r>
      <w:r w:rsidRPr="009811E6">
        <w:rPr>
          <w:sz w:val="18"/>
          <w:szCs w:val="18"/>
        </w:rPr>
        <w:t>167</w:t>
      </w:r>
      <w:r w:rsidRPr="009811E6">
        <w:rPr>
          <w:sz w:val="18"/>
          <w:szCs w:val="18"/>
        </w:rPr>
        <w:fldChar w:fldCharType="end"/>
      </w:r>
      <w:r w:rsidRPr="009811E6">
        <w:rPr>
          <w:sz w:val="18"/>
          <w:szCs w:val="18"/>
        </w:rPr>
        <w:t xml:space="preserve">, at 446. </w:t>
      </w:r>
    </w:p>
  </w:footnote>
  <w:footnote w:id="188">
    <w:p w14:paraId="1DDCA908" w14:textId="2DB8E745"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Treaty Commentary,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_Ref149430437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w:t>
      </w:r>
      <w:r w:rsidRPr="00A62B70">
        <w:rPr>
          <w:rFonts w:asciiTheme="minorHAnsi" w:hAnsiTheme="minorHAnsi" w:cstheme="minorHAnsi"/>
          <w:sz w:val="18"/>
          <w:szCs w:val="18"/>
        </w:rPr>
        <w:fldChar w:fldCharType="end"/>
      </w:r>
      <w:r w:rsidRPr="00A62B70">
        <w:rPr>
          <w:rFonts w:asciiTheme="minorHAnsi" w:hAnsiTheme="minorHAnsi" w:cstheme="minorHAnsi"/>
          <w:sz w:val="18"/>
          <w:szCs w:val="18"/>
        </w:rPr>
        <w:t xml:space="preserve">, </w:t>
      </w:r>
      <w:r w:rsidRPr="009811E6">
        <w:rPr>
          <w:sz w:val="18"/>
          <w:szCs w:val="18"/>
        </w:rPr>
        <w:t xml:space="preserve">art. 24, para. 1, line 18. </w:t>
      </w:r>
    </w:p>
  </w:footnote>
  <w:footnote w:id="189">
    <w:p w14:paraId="354D58F2" w14:textId="174D6E9F"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3; U.S.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2. </w:t>
      </w:r>
    </w:p>
  </w:footnote>
  <w:footnote w:id="190">
    <w:p w14:paraId="735A08DD" w14:textId="520BDDD9"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The permanent establishment paragraph in the OECD Model Treaty provides: “[t]he taxation on a permanent establishment which an enterprise of a Contracting State has in the other Contracting State shall not be less favourably levied in that other State than the taxation levied on enterprises of that other State carrying on the same activities.”  OECD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3.  Applying the model treaty’s definitions of “enterprise of a Contracting State” and “enterprise of the other Contracting State,” the permanent establishment paragraph is to be read as follows: “The taxation on a permanent establishment which [</w:t>
      </w:r>
      <w:r w:rsidRPr="009811E6">
        <w:rPr>
          <w:i/>
          <w:sz w:val="18"/>
          <w:szCs w:val="18"/>
        </w:rPr>
        <w:t>a business of a resident</w:t>
      </w:r>
      <w:r w:rsidRPr="009811E6">
        <w:rPr>
          <w:sz w:val="18"/>
          <w:szCs w:val="18"/>
        </w:rPr>
        <w:t>] of a Contracting State has in the other Contracting State shall not be less favourably levied in that other State than the taxation levied on [</w:t>
      </w:r>
      <w:r w:rsidRPr="009811E6">
        <w:rPr>
          <w:i/>
          <w:sz w:val="18"/>
          <w:szCs w:val="18"/>
        </w:rPr>
        <w:t>a business of a resident</w:t>
      </w:r>
      <w:r w:rsidRPr="009811E6">
        <w:rPr>
          <w:sz w:val="18"/>
          <w:szCs w:val="18"/>
        </w:rPr>
        <w:t xml:space="preserve">] of that other State carrying on the same activities.”  </w:t>
      </w:r>
      <w:r w:rsidRPr="009811E6">
        <w:rPr>
          <w:i/>
          <w:sz w:val="18"/>
          <w:szCs w:val="18"/>
        </w:rPr>
        <w:t xml:space="preserve">Id. </w:t>
      </w:r>
      <w:r w:rsidRPr="009811E6">
        <w:rPr>
          <w:sz w:val="18"/>
          <w:szCs w:val="18"/>
        </w:rPr>
        <w:t xml:space="preserve">at art. 3, para. 1c and 1d. </w:t>
      </w:r>
    </w:p>
  </w:footnote>
  <w:footnote w:id="191">
    <w:p w14:paraId="6012F507" w14:textId="0E0D6257"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OECD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5; U.S. Model Treaty, </w:t>
      </w:r>
      <w:r>
        <w:rPr>
          <w:i/>
          <w:sz w:val="18"/>
          <w:szCs w:val="18"/>
        </w:rPr>
        <w:t xml:space="preserve">supra </w:t>
      </w:r>
      <w:r>
        <w:rPr>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_Ref149430491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9</w:t>
      </w:r>
      <w:r w:rsidRPr="00A62B70">
        <w:rPr>
          <w:rFonts w:asciiTheme="minorHAnsi" w:hAnsiTheme="minorHAnsi" w:cstheme="minorHAnsi"/>
          <w:sz w:val="18"/>
          <w:szCs w:val="18"/>
        </w:rPr>
        <w:fldChar w:fldCharType="end"/>
      </w:r>
      <w:r>
        <w:rPr>
          <w:sz w:val="18"/>
          <w:szCs w:val="18"/>
        </w:rPr>
        <w:t>,</w:t>
      </w:r>
      <w:r w:rsidRPr="009811E6">
        <w:rPr>
          <w:sz w:val="18"/>
          <w:szCs w:val="18"/>
        </w:rPr>
        <w:t xml:space="preserve"> art. 24, para. 5.</w:t>
      </w:r>
    </w:p>
  </w:footnote>
  <w:footnote w:id="192">
    <w:p w14:paraId="524EF95D" w14:textId="171D6D2E"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Bennett, </w:t>
      </w:r>
      <w:r w:rsidRPr="00113F92">
        <w:rPr>
          <w:i/>
          <w:sz w:val="18"/>
          <w:szCs w:val="18"/>
        </w:rPr>
        <w:t>supra</w:t>
      </w:r>
      <w:r w:rsidRPr="009811E6">
        <w:rPr>
          <w:sz w:val="18"/>
          <w:szCs w:val="18"/>
        </w:rPr>
        <w:t xml:space="preserve"> note </w:t>
      </w:r>
      <w:r w:rsidRPr="009811E6">
        <w:rPr>
          <w:sz w:val="18"/>
          <w:szCs w:val="18"/>
        </w:rPr>
        <w:fldChar w:fldCharType="begin"/>
      </w:r>
      <w:r w:rsidRPr="009811E6">
        <w:rPr>
          <w:sz w:val="18"/>
          <w:szCs w:val="18"/>
        </w:rPr>
        <w:instrText xml:space="preserve"> NOTEREF _Ref149493746 \h </w:instrText>
      </w:r>
      <w:r>
        <w:rPr>
          <w:sz w:val="18"/>
          <w:szCs w:val="18"/>
        </w:rPr>
        <w:instrText xml:space="preserve"> \* MERGEFORMAT </w:instrText>
      </w:r>
      <w:r w:rsidRPr="009811E6">
        <w:rPr>
          <w:sz w:val="18"/>
          <w:szCs w:val="18"/>
        </w:rPr>
      </w:r>
      <w:r w:rsidRPr="009811E6">
        <w:rPr>
          <w:sz w:val="18"/>
          <w:szCs w:val="18"/>
        </w:rPr>
        <w:fldChar w:fldCharType="separate"/>
      </w:r>
      <w:r w:rsidRPr="009811E6">
        <w:rPr>
          <w:sz w:val="18"/>
          <w:szCs w:val="18"/>
        </w:rPr>
        <w:t>167</w:t>
      </w:r>
      <w:r w:rsidRPr="009811E6">
        <w:rPr>
          <w:sz w:val="18"/>
          <w:szCs w:val="18"/>
        </w:rPr>
        <w:fldChar w:fldCharType="end"/>
      </w:r>
      <w:r w:rsidRPr="009811E6">
        <w:rPr>
          <w:sz w:val="18"/>
          <w:szCs w:val="18"/>
        </w:rPr>
        <w:t xml:space="preserve"> at 454</w:t>
      </w:r>
      <w:r>
        <w:rPr>
          <w:sz w:val="18"/>
          <w:szCs w:val="18"/>
        </w:rPr>
        <w:t>;</w:t>
      </w:r>
      <w:r w:rsidRPr="009811E6">
        <w:rPr>
          <w:sz w:val="18"/>
          <w:szCs w:val="18"/>
        </w:rPr>
        <w:t xml:space="preserve"> </w:t>
      </w:r>
      <w:r>
        <w:rPr>
          <w:i/>
          <w:sz w:val="18"/>
          <w:szCs w:val="18"/>
        </w:rPr>
        <w:t>s</w:t>
      </w:r>
      <w:r w:rsidRPr="009811E6">
        <w:rPr>
          <w:i/>
          <w:sz w:val="18"/>
          <w:szCs w:val="18"/>
        </w:rPr>
        <w:t>ee also</w:t>
      </w:r>
      <w:r>
        <w:rPr>
          <w:i/>
          <w:sz w:val="18"/>
          <w:szCs w:val="18"/>
        </w:rPr>
        <w:t>,</w:t>
      </w:r>
      <w:r w:rsidRPr="009811E6">
        <w:rPr>
          <w:i/>
          <w:sz w:val="18"/>
          <w:szCs w:val="18"/>
        </w:rPr>
        <w:t xml:space="preserve"> e.g., UnionBancCal Corp. v. Commissioner</w:t>
      </w:r>
      <w:r w:rsidRPr="009811E6">
        <w:rPr>
          <w:sz w:val="18"/>
          <w:szCs w:val="18"/>
        </w:rPr>
        <w:t>, 305 F.3d 976, 981 (9th Cir. 2002) (“But it hasn</w:t>
      </w:r>
      <w:r>
        <w:rPr>
          <w:sz w:val="18"/>
          <w:szCs w:val="18"/>
        </w:rPr>
        <w:t>’</w:t>
      </w:r>
      <w:r w:rsidRPr="009811E6">
        <w:rPr>
          <w:sz w:val="18"/>
          <w:szCs w:val="18"/>
        </w:rPr>
        <w:t>t shown that it would have been treated any differently had Standard been American</w:t>
      </w:r>
      <w:r>
        <w:rPr>
          <w:sz w:val="18"/>
          <w:szCs w:val="18"/>
        </w:rPr>
        <w:t>.</w:t>
      </w:r>
      <w:r w:rsidRPr="009811E6">
        <w:rPr>
          <w:sz w:val="18"/>
          <w:szCs w:val="18"/>
        </w:rPr>
        <w:t>”)</w:t>
      </w:r>
      <w:r>
        <w:rPr>
          <w:sz w:val="18"/>
          <w:szCs w:val="18"/>
        </w:rPr>
        <w:t>;</w:t>
      </w:r>
      <w:r w:rsidRPr="009811E6">
        <w:rPr>
          <w:sz w:val="18"/>
          <w:szCs w:val="18"/>
        </w:rPr>
        <w:t xml:space="preserve"> </w:t>
      </w:r>
      <w:r w:rsidRPr="009811E6">
        <w:rPr>
          <w:i/>
          <w:sz w:val="18"/>
          <w:szCs w:val="18"/>
        </w:rPr>
        <w:t>Square D Co. v. Commissioner</w:t>
      </w:r>
      <w:r w:rsidRPr="009811E6">
        <w:rPr>
          <w:sz w:val="18"/>
          <w:szCs w:val="18"/>
        </w:rPr>
        <w:t xml:space="preserve">, 438 F.3d 739 (7th Cir. 2006) (analyzing the ownership paragraph by comparing a French-owned U.S. corporation to “a corporation were owned by a United States parent”). </w:t>
      </w:r>
    </w:p>
  </w:footnote>
  <w:footnote w:id="193">
    <w:p w14:paraId="3AC14D3C" w14:textId="0AD6E8CF"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Technical Explanation,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_Ref149562373 \h </w:instrText>
      </w:r>
      <w:r>
        <w:rPr>
          <w:sz w:val="18"/>
          <w:szCs w:val="18"/>
        </w:rPr>
      </w:r>
      <w:r>
        <w:rPr>
          <w:sz w:val="18"/>
          <w:szCs w:val="18"/>
        </w:rPr>
        <w:fldChar w:fldCharType="separate"/>
      </w:r>
      <w:r>
        <w:rPr>
          <w:sz w:val="18"/>
          <w:szCs w:val="18"/>
        </w:rPr>
        <w:t>31</w:t>
      </w:r>
      <w:r>
        <w:rPr>
          <w:sz w:val="18"/>
          <w:szCs w:val="18"/>
        </w:rPr>
        <w:fldChar w:fldCharType="end"/>
      </w:r>
      <w:r>
        <w:rPr>
          <w:sz w:val="18"/>
          <w:szCs w:val="18"/>
        </w:rPr>
        <w:t xml:space="preserve">, </w:t>
      </w:r>
      <w:r w:rsidRPr="009811E6">
        <w:rPr>
          <w:sz w:val="18"/>
          <w:szCs w:val="18"/>
        </w:rPr>
        <w:t xml:space="preserve">art. 24.  </w:t>
      </w:r>
    </w:p>
  </w:footnote>
  <w:footnote w:id="194">
    <w:p w14:paraId="24BCD895" w14:textId="77777777"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w:t>
      </w:r>
      <w:r w:rsidRPr="009811E6">
        <w:rPr>
          <w:i/>
          <w:sz w:val="18"/>
          <w:szCs w:val="18"/>
        </w:rPr>
        <w:t xml:space="preserve">Id. </w:t>
      </w:r>
    </w:p>
  </w:footnote>
  <w:footnote w:id="195">
    <w:p w14:paraId="7BCD812D" w14:textId="77777777"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w:t>
      </w:r>
      <w:r w:rsidRPr="009811E6">
        <w:rPr>
          <w:i/>
          <w:sz w:val="18"/>
          <w:szCs w:val="18"/>
        </w:rPr>
        <w:t>Id.</w:t>
      </w:r>
      <w:r w:rsidRPr="009811E6">
        <w:rPr>
          <w:sz w:val="18"/>
          <w:szCs w:val="18"/>
        </w:rPr>
        <w:t xml:space="preserve"> para. 2. </w:t>
      </w:r>
    </w:p>
  </w:footnote>
  <w:footnote w:id="196">
    <w:p w14:paraId="15E18C44" w14:textId="5EF22EB6"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Code </w:t>
      </w:r>
      <w:r>
        <w:rPr>
          <w:sz w:val="18"/>
          <w:szCs w:val="18"/>
        </w:rPr>
        <w:t>§</w:t>
      </w:r>
      <w:r w:rsidRPr="009811E6">
        <w:rPr>
          <w:sz w:val="18"/>
          <w:szCs w:val="18"/>
        </w:rPr>
        <w:t xml:space="preserve"> 1446(a). </w:t>
      </w:r>
    </w:p>
  </w:footnote>
  <w:footnote w:id="197">
    <w:p w14:paraId="08CEDC5B" w14:textId="77777777" w:rsidR="00794C7D" w:rsidRPr="009811E6" w:rsidRDefault="00794C7D" w:rsidP="006669B1">
      <w:pPr>
        <w:pStyle w:val="FootnoteText"/>
        <w:spacing w:before="120"/>
        <w:rPr>
          <w:i/>
          <w:sz w:val="18"/>
          <w:szCs w:val="18"/>
        </w:rPr>
      </w:pPr>
      <w:r w:rsidRPr="009811E6">
        <w:rPr>
          <w:rStyle w:val="FootnoteReference"/>
          <w:sz w:val="18"/>
          <w:szCs w:val="18"/>
        </w:rPr>
        <w:footnoteRef/>
      </w:r>
      <w:r w:rsidRPr="009811E6">
        <w:rPr>
          <w:sz w:val="18"/>
          <w:szCs w:val="18"/>
        </w:rPr>
        <w:t xml:space="preserve"> </w:t>
      </w:r>
      <w:r w:rsidRPr="009811E6">
        <w:rPr>
          <w:i/>
          <w:sz w:val="18"/>
          <w:szCs w:val="18"/>
        </w:rPr>
        <w:t xml:space="preserve">Id. </w:t>
      </w:r>
    </w:p>
  </w:footnote>
  <w:footnote w:id="198">
    <w:p w14:paraId="02E845C3" w14:textId="0BF6F461"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Code </w:t>
      </w:r>
      <w:r>
        <w:rPr>
          <w:sz w:val="18"/>
          <w:szCs w:val="18"/>
        </w:rPr>
        <w:t>§§</w:t>
      </w:r>
      <w:r w:rsidRPr="009811E6">
        <w:rPr>
          <w:sz w:val="18"/>
          <w:szCs w:val="18"/>
        </w:rPr>
        <w:t xml:space="preserve"> 871(b); 882(a)(1). </w:t>
      </w:r>
    </w:p>
  </w:footnote>
  <w:footnote w:id="199">
    <w:p w14:paraId="23C8EDE2" w14:textId="20CA58EC" w:rsidR="00794C7D" w:rsidRPr="009811E6" w:rsidRDefault="00794C7D" w:rsidP="006669B1">
      <w:pPr>
        <w:pStyle w:val="FootnoteText"/>
        <w:spacing w:before="120"/>
        <w:rPr>
          <w:sz w:val="18"/>
          <w:szCs w:val="18"/>
        </w:rPr>
      </w:pPr>
      <w:r w:rsidRPr="009811E6">
        <w:rPr>
          <w:rStyle w:val="FootnoteReference"/>
          <w:sz w:val="18"/>
          <w:szCs w:val="18"/>
        </w:rPr>
        <w:footnoteRef/>
      </w:r>
      <w:r w:rsidRPr="009811E6">
        <w:rPr>
          <w:sz w:val="18"/>
          <w:szCs w:val="18"/>
        </w:rPr>
        <w:t xml:space="preserve"> Technical Explanation,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_Ref149562373 \h </w:instrText>
      </w:r>
      <w:r>
        <w:rPr>
          <w:sz w:val="18"/>
          <w:szCs w:val="18"/>
        </w:rPr>
      </w:r>
      <w:r>
        <w:rPr>
          <w:sz w:val="18"/>
          <w:szCs w:val="18"/>
        </w:rPr>
        <w:fldChar w:fldCharType="separate"/>
      </w:r>
      <w:r>
        <w:rPr>
          <w:sz w:val="18"/>
          <w:szCs w:val="18"/>
        </w:rPr>
        <w:t>31</w:t>
      </w:r>
      <w:r>
        <w:rPr>
          <w:sz w:val="18"/>
          <w:szCs w:val="18"/>
        </w:rPr>
        <w:fldChar w:fldCharType="end"/>
      </w:r>
      <w:r>
        <w:rPr>
          <w:sz w:val="18"/>
          <w:szCs w:val="18"/>
        </w:rPr>
        <w:t xml:space="preserve">, </w:t>
      </w:r>
      <w:r w:rsidRPr="009811E6">
        <w:rPr>
          <w:sz w:val="18"/>
          <w:szCs w:val="18"/>
        </w:rPr>
        <w:t xml:space="preserve">art. 24, para. 5.   </w:t>
      </w:r>
    </w:p>
  </w:footnote>
  <w:footnote w:id="200">
    <w:p w14:paraId="63AC862C"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232 U.S. 261 (1914).</w:t>
      </w:r>
    </w:p>
  </w:footnote>
  <w:footnote w:id="201">
    <w:p w14:paraId="6CA4272A"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232 U.S. 299 (1914). </w:t>
      </w:r>
    </w:p>
  </w:footnote>
  <w:footnote w:id="202">
    <w:p w14:paraId="1EB5CA08" w14:textId="50992591"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Pr>
          <w:rFonts w:asciiTheme="minorHAnsi" w:hAnsiTheme="minorHAnsi" w:cstheme="minorHAnsi"/>
          <w:i/>
          <w:sz w:val="18"/>
          <w:szCs w:val="18"/>
        </w:rPr>
        <w:t>Id.</w:t>
      </w:r>
      <w:r>
        <w:rPr>
          <w:rFonts w:asciiTheme="minorHAnsi" w:hAnsiTheme="minorHAnsi" w:cstheme="minorHAnsi"/>
          <w:sz w:val="18"/>
          <w:szCs w:val="18"/>
        </w:rPr>
        <w:t xml:space="preserve"> at 305.</w:t>
      </w:r>
    </w:p>
  </w:footnote>
  <w:footnote w:id="203">
    <w:p w14:paraId="19C5153F" w14:textId="02291D75" w:rsidR="00794C7D" w:rsidRPr="00A62B70" w:rsidRDefault="00794C7D" w:rsidP="00A62B70">
      <w:pPr>
        <w:pStyle w:val="FootnoteText"/>
        <w:spacing w:before="120"/>
        <w:rPr>
          <w:sz w:val="18"/>
          <w:szCs w:val="18"/>
        </w:rPr>
      </w:pPr>
      <w:r w:rsidRPr="00A62B70">
        <w:rPr>
          <w:rStyle w:val="FootnoteReference"/>
          <w:sz w:val="18"/>
          <w:szCs w:val="18"/>
        </w:rPr>
        <w:footnoteRef/>
      </w:r>
      <w:r w:rsidRPr="00A62B70">
        <w:rPr>
          <w:sz w:val="18"/>
          <w:szCs w:val="18"/>
        </w:rPr>
        <w:t xml:space="preserve"> </w:t>
      </w:r>
      <w:r>
        <w:rPr>
          <w:i/>
          <w:sz w:val="18"/>
          <w:szCs w:val="18"/>
        </w:rPr>
        <w:t xml:space="preserve">Id. </w:t>
      </w:r>
      <w:r>
        <w:rPr>
          <w:sz w:val="18"/>
          <w:szCs w:val="18"/>
        </w:rPr>
        <w:t>at 307.</w:t>
      </w:r>
    </w:p>
  </w:footnote>
  <w:footnote w:id="204">
    <w:p w14:paraId="7F3A6215" w14:textId="3654D1BA"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Pr>
          <w:rFonts w:asciiTheme="minorHAnsi" w:hAnsiTheme="minorHAnsi" w:cstheme="minorHAnsi"/>
          <w:i/>
          <w:sz w:val="18"/>
          <w:szCs w:val="18"/>
        </w:rPr>
        <w:t>Id.</w:t>
      </w:r>
    </w:p>
  </w:footnote>
  <w:footnote w:id="205">
    <w:p w14:paraId="707F66A6"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265 U.S. 47 (1924). </w:t>
      </w:r>
    </w:p>
  </w:footnote>
  <w:footnote w:id="206">
    <w:p w14:paraId="19A85FD8" w14:textId="2BC505F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w:t>
      </w:r>
      <w:r>
        <w:rPr>
          <w:rFonts w:asciiTheme="minorHAnsi" w:hAnsiTheme="minorHAnsi" w:cstheme="minorHAnsi"/>
          <w:i/>
          <w:sz w:val="18"/>
          <w:szCs w:val="18"/>
        </w:rPr>
        <w:t>Id.</w:t>
      </w:r>
      <w:r>
        <w:rPr>
          <w:rFonts w:asciiTheme="minorHAnsi" w:hAnsiTheme="minorHAnsi" w:cstheme="minorHAnsi"/>
          <w:sz w:val="18"/>
          <w:szCs w:val="18"/>
        </w:rPr>
        <w:t xml:space="preserve"> at 56.</w:t>
      </w:r>
    </w:p>
  </w:footnote>
  <w:footnote w:id="207">
    <w:p w14:paraId="6291D9D3" w14:textId="77777777"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79 F.2d 245 (2d Cir. 1935). </w:t>
      </w:r>
    </w:p>
  </w:footnote>
  <w:footnote w:id="208">
    <w:p w14:paraId="105E66AC" w14:textId="3224616C" w:rsidR="00794C7D" w:rsidRPr="00A62B70" w:rsidRDefault="00794C7D" w:rsidP="00A62B70">
      <w:pPr>
        <w:pStyle w:val="FootnoteText"/>
        <w:spacing w:before="120"/>
        <w:rPr>
          <w:rFonts w:asciiTheme="minorHAnsi" w:hAnsiTheme="minorHAnsi" w:cstheme="minorHAnsi"/>
          <w:sz w:val="18"/>
          <w:szCs w:val="18"/>
        </w:rPr>
      </w:pPr>
      <w:r w:rsidRPr="00A62B70">
        <w:rPr>
          <w:rStyle w:val="FootnoteReference"/>
          <w:rFonts w:asciiTheme="minorHAnsi" w:hAnsiTheme="minorHAnsi" w:cstheme="minorHAnsi"/>
          <w:sz w:val="18"/>
          <w:szCs w:val="18"/>
        </w:rPr>
        <w:footnoteRef/>
      </w:r>
      <w:r w:rsidRPr="00A62B70">
        <w:rPr>
          <w:rFonts w:asciiTheme="minorHAnsi" w:hAnsiTheme="minorHAnsi" w:cstheme="minorHAnsi"/>
          <w:sz w:val="18"/>
          <w:szCs w:val="18"/>
        </w:rPr>
        <w:t xml:space="preserve"> 390 F.2d 631 (1st Cir. 1968).</w:t>
      </w:r>
    </w:p>
  </w:footnote>
  <w:footnote w:id="209">
    <w:p w14:paraId="423F001D" w14:textId="2D6421CF" w:rsidR="00794C7D" w:rsidRPr="00113F92" w:rsidRDefault="00794C7D" w:rsidP="00113F92">
      <w:pPr>
        <w:pStyle w:val="FootnoteText"/>
        <w:spacing w:before="120"/>
        <w:rPr>
          <w:sz w:val="18"/>
          <w:szCs w:val="18"/>
        </w:rPr>
      </w:pPr>
      <w:r w:rsidRPr="00113F92">
        <w:rPr>
          <w:rStyle w:val="FootnoteReference"/>
          <w:sz w:val="18"/>
          <w:szCs w:val="18"/>
        </w:rPr>
        <w:footnoteRef/>
      </w:r>
      <w:r w:rsidRPr="00113F92">
        <w:rPr>
          <w:sz w:val="18"/>
          <w:szCs w:val="18"/>
        </w:rPr>
        <w:t xml:space="preserve"> Allison Christians &amp; Stephen Shay, The Co</w:t>
      </w:r>
      <w:r w:rsidRPr="00825D81">
        <w:rPr>
          <w:sz w:val="18"/>
          <w:szCs w:val="18"/>
        </w:rPr>
        <w:t xml:space="preserve">nsistency of Pillar 2 UTPR With </w:t>
      </w:r>
      <w:r w:rsidRPr="00113F92">
        <w:rPr>
          <w:sz w:val="18"/>
          <w:szCs w:val="18"/>
        </w:rPr>
        <w:t>U.S. Bilateral Tax Treaties, Tax Notes Int’l, Vol. 109, at 448 (Jan. 23, 2023).</w:t>
      </w:r>
    </w:p>
  </w:footnote>
  <w:footnote w:id="210">
    <w:p w14:paraId="3E7303BE" w14:textId="77777777" w:rsidR="00794C7D" w:rsidRPr="00722F8D" w:rsidRDefault="00794C7D" w:rsidP="00F96DED">
      <w:pPr>
        <w:pStyle w:val="FootnoteText"/>
        <w:spacing w:before="120"/>
        <w:rPr>
          <w:sz w:val="18"/>
          <w:szCs w:val="18"/>
        </w:rPr>
      </w:pPr>
      <w:r w:rsidRPr="00722F8D">
        <w:rPr>
          <w:rStyle w:val="FootnoteReference"/>
          <w:sz w:val="18"/>
          <w:szCs w:val="18"/>
        </w:rPr>
        <w:footnoteRef/>
      </w:r>
      <w:r w:rsidRPr="00722F8D">
        <w:rPr>
          <w:sz w:val="18"/>
          <w:szCs w:val="18"/>
        </w:rPr>
        <w:t xml:space="preserve"> Dept. of Economic &amp; Social Affairs, United Nations Model Double Taxation Convention Between Developed and Developing Countries (2021) [hereinafter UN Model Treaty].</w:t>
      </w:r>
    </w:p>
  </w:footnote>
  <w:footnote w:id="211">
    <w:p w14:paraId="5D635CD3" w14:textId="35AC3B29" w:rsidR="00794C7D" w:rsidRDefault="00794C7D" w:rsidP="00F96DED">
      <w:pPr>
        <w:pStyle w:val="FootnoteText"/>
        <w:spacing w:before="120"/>
      </w:pPr>
      <w:r w:rsidRPr="00722F8D">
        <w:rPr>
          <w:rStyle w:val="FootnoteReference"/>
          <w:sz w:val="18"/>
          <w:szCs w:val="18"/>
        </w:rPr>
        <w:footnoteRef/>
      </w:r>
      <w:r w:rsidRPr="00722F8D">
        <w:rPr>
          <w:sz w:val="18"/>
          <w:szCs w:val="18"/>
        </w:rPr>
        <w:t xml:space="preserve"> This </w:t>
      </w:r>
      <w:r w:rsidRPr="00722F8D">
        <w:rPr>
          <w:rFonts w:ascii="MinionPro-Regular" w:hAnsi="MinionPro-Regular"/>
          <w:color w:val="000000"/>
          <w:sz w:val="18"/>
          <w:szCs w:val="18"/>
        </w:rPr>
        <w:t>Source-Residence Renegotiation Approach is derived from this author’s understanding of the approach outlined by Paul Oosterhuis in his lecture entitled</w:t>
      </w:r>
      <w:r w:rsidRPr="00722F8D">
        <w:rPr>
          <w:sz w:val="18"/>
          <w:szCs w:val="18"/>
        </w:rPr>
        <w:t xml:space="preserve"> </w:t>
      </w:r>
      <w:r w:rsidRPr="00722F8D">
        <w:rPr>
          <w:rFonts w:ascii="MinionPro-Regular" w:hAnsi="MinionPro-Regular"/>
          <w:color w:val="000000"/>
          <w:sz w:val="18"/>
          <w:szCs w:val="18"/>
        </w:rPr>
        <w:t>“Revisiting an Age-Old Question: What Taxes Should be Treated as Income Taxes</w:t>
      </w:r>
      <w:r>
        <w:rPr>
          <w:rFonts w:ascii="MinionPro-Regular" w:hAnsi="MinionPro-Regular"/>
          <w:color w:val="000000"/>
          <w:sz w:val="18"/>
          <w:szCs w:val="18"/>
        </w:rPr>
        <w:t>,</w:t>
      </w:r>
      <w:r w:rsidRPr="00722F8D">
        <w:rPr>
          <w:rFonts w:ascii="MinionPro-Regular" w:hAnsi="MinionPro-Regular"/>
          <w:color w:val="000000"/>
          <w:sz w:val="18"/>
          <w:szCs w:val="18"/>
        </w:rPr>
        <w:t>” delivered as the 25th David R. Tillinghast Lecture on International Taxation.</w:t>
      </w:r>
    </w:p>
  </w:footnote>
  <w:footnote w:id="212">
    <w:p w14:paraId="47ECEB76" w14:textId="705AF36B" w:rsidR="00794C7D" w:rsidRDefault="00794C7D" w:rsidP="00F96DED">
      <w:pPr>
        <w:pStyle w:val="FootnoteText"/>
        <w:spacing w:before="120"/>
      </w:pPr>
      <w:r w:rsidRPr="009811E6">
        <w:rPr>
          <w:rStyle w:val="FootnoteReference"/>
          <w:sz w:val="18"/>
          <w:szCs w:val="18"/>
        </w:rPr>
        <w:footnoteRef/>
      </w:r>
      <w:r w:rsidRPr="009811E6">
        <w:rPr>
          <w:sz w:val="18"/>
          <w:szCs w:val="18"/>
        </w:rPr>
        <w:t xml:space="preserve"> </w:t>
      </w:r>
      <w:r>
        <w:rPr>
          <w:sz w:val="18"/>
          <w:szCs w:val="18"/>
        </w:rPr>
        <w:t xml:space="preserve">March </w:t>
      </w:r>
      <w:r w:rsidRPr="009811E6">
        <w:rPr>
          <w:sz w:val="18"/>
          <w:szCs w:val="18"/>
        </w:rPr>
        <w:t>2022 Commentary</w:t>
      </w:r>
      <w:r>
        <w:rPr>
          <w:sz w:val="18"/>
          <w:szCs w:val="18"/>
        </w:rPr>
        <w:t xml:space="preserve">, </w:t>
      </w:r>
      <w:r w:rsidRPr="00A62B70">
        <w:rPr>
          <w:rFonts w:asciiTheme="minorHAnsi" w:hAnsiTheme="minorHAnsi" w:cstheme="minorHAnsi"/>
          <w:i/>
          <w:sz w:val="18"/>
          <w:szCs w:val="18"/>
        </w:rPr>
        <w:t xml:space="preserve">supra </w:t>
      </w:r>
      <w:r w:rsidRPr="00A62B70">
        <w:rPr>
          <w:rFonts w:asciiTheme="minorHAnsi" w:hAnsiTheme="minorHAnsi" w:cstheme="minorHAnsi"/>
          <w:sz w:val="18"/>
          <w:szCs w:val="18"/>
        </w:rPr>
        <w:t xml:space="preserve">note </w:t>
      </w:r>
      <w:r w:rsidRPr="00A62B70">
        <w:rPr>
          <w:rFonts w:asciiTheme="minorHAnsi" w:hAnsiTheme="minorHAnsi" w:cstheme="minorHAnsi"/>
          <w:sz w:val="18"/>
          <w:szCs w:val="18"/>
        </w:rPr>
        <w:fldChar w:fldCharType="begin"/>
      </w:r>
      <w:r w:rsidRPr="00A62B70">
        <w:rPr>
          <w:rFonts w:asciiTheme="minorHAnsi" w:hAnsiTheme="minorHAnsi" w:cstheme="minorHAnsi"/>
          <w:sz w:val="18"/>
          <w:szCs w:val="18"/>
        </w:rPr>
        <w:instrText xml:space="preserve"> NOTEREF _Ref149430173 \h  \* MERGEFORMAT </w:instrText>
      </w:r>
      <w:r w:rsidRPr="00A62B70">
        <w:rPr>
          <w:rFonts w:asciiTheme="minorHAnsi" w:hAnsiTheme="minorHAnsi" w:cstheme="minorHAnsi"/>
          <w:sz w:val="18"/>
          <w:szCs w:val="18"/>
        </w:rPr>
      </w:r>
      <w:r w:rsidRPr="00A62B70">
        <w:rPr>
          <w:rFonts w:asciiTheme="minorHAnsi" w:hAnsiTheme="minorHAnsi" w:cstheme="minorHAnsi"/>
          <w:sz w:val="18"/>
          <w:szCs w:val="18"/>
        </w:rPr>
        <w:fldChar w:fldCharType="separate"/>
      </w:r>
      <w:r w:rsidRPr="00A62B70">
        <w:rPr>
          <w:rFonts w:asciiTheme="minorHAnsi" w:hAnsiTheme="minorHAnsi" w:cstheme="minorHAnsi"/>
          <w:sz w:val="18"/>
          <w:szCs w:val="18"/>
        </w:rPr>
        <w:t>138</w:t>
      </w:r>
      <w:r w:rsidRPr="00A62B70">
        <w:rPr>
          <w:rFonts w:asciiTheme="minorHAnsi" w:hAnsiTheme="minorHAnsi" w:cstheme="minorHAnsi"/>
          <w:sz w:val="18"/>
          <w:szCs w:val="18"/>
        </w:rPr>
        <w:fldChar w:fldCharType="end"/>
      </w:r>
      <w:r>
        <w:rPr>
          <w:rFonts w:asciiTheme="minorHAnsi" w:hAnsiTheme="minorHAnsi" w:cstheme="minorHAnsi"/>
          <w:sz w:val="18"/>
          <w:szCs w:val="18"/>
        </w:rPr>
        <w:t>,</w:t>
      </w:r>
      <w:r w:rsidRPr="009811E6">
        <w:rPr>
          <w:sz w:val="18"/>
          <w:szCs w:val="18"/>
        </w:rPr>
        <w:t xml:space="preserve"> at 39.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1F08" w14:textId="677DBB24" w:rsidR="00794C7D" w:rsidRDefault="00794C7D">
    <w:pPr>
      <w:pStyle w:val="Header"/>
    </w:pPr>
    <w:r>
      <w:t>DRAFT (10/30/2023)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C092D8"/>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15:restartNumberingAfterBreak="0">
    <w:nsid w:val="007D5D17"/>
    <w:multiLevelType w:val="hybridMultilevel"/>
    <w:tmpl w:val="F04E7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9F52AB"/>
    <w:multiLevelType w:val="multilevel"/>
    <w:tmpl w:val="D70EC034"/>
    <w:numStyleLink w:val="BMSchedules"/>
  </w:abstractNum>
  <w:abstractNum w:abstractNumId="4" w15:restartNumberingAfterBreak="0">
    <w:nsid w:val="0A7D0959"/>
    <w:multiLevelType w:val="hybridMultilevel"/>
    <w:tmpl w:val="23BC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60B"/>
    <w:multiLevelType w:val="hybridMultilevel"/>
    <w:tmpl w:val="29586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01F37"/>
    <w:multiLevelType w:val="hybridMultilevel"/>
    <w:tmpl w:val="82D83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51C4C"/>
    <w:multiLevelType w:val="multilevel"/>
    <w:tmpl w:val="7B24B224"/>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A0E67BC"/>
    <w:multiLevelType w:val="hybridMultilevel"/>
    <w:tmpl w:val="E2D47438"/>
    <w:lvl w:ilvl="0" w:tplc="F09E823C">
      <w:start w:val="1"/>
      <w:numFmt w:val="upperRoman"/>
      <w:lvlText w:val="%1."/>
      <w:lvlJc w:val="right"/>
      <w:pPr>
        <w:tabs>
          <w:tab w:val="num" w:pos="720"/>
        </w:tabs>
        <w:ind w:left="720" w:hanging="360"/>
      </w:pPr>
    </w:lvl>
    <w:lvl w:ilvl="1" w:tplc="A9B8AB60" w:tentative="1">
      <w:start w:val="1"/>
      <w:numFmt w:val="upperRoman"/>
      <w:lvlText w:val="%2."/>
      <w:lvlJc w:val="right"/>
      <w:pPr>
        <w:tabs>
          <w:tab w:val="num" w:pos="1440"/>
        </w:tabs>
        <w:ind w:left="1440" w:hanging="360"/>
      </w:pPr>
    </w:lvl>
    <w:lvl w:ilvl="2" w:tplc="1F2AEF74" w:tentative="1">
      <w:start w:val="1"/>
      <w:numFmt w:val="upperRoman"/>
      <w:lvlText w:val="%3."/>
      <w:lvlJc w:val="right"/>
      <w:pPr>
        <w:tabs>
          <w:tab w:val="num" w:pos="2160"/>
        </w:tabs>
        <w:ind w:left="2160" w:hanging="360"/>
      </w:pPr>
    </w:lvl>
    <w:lvl w:ilvl="3" w:tplc="B3E86246" w:tentative="1">
      <w:start w:val="1"/>
      <w:numFmt w:val="upperRoman"/>
      <w:lvlText w:val="%4."/>
      <w:lvlJc w:val="right"/>
      <w:pPr>
        <w:tabs>
          <w:tab w:val="num" w:pos="2880"/>
        </w:tabs>
        <w:ind w:left="2880" w:hanging="360"/>
      </w:pPr>
    </w:lvl>
    <w:lvl w:ilvl="4" w:tplc="967EC9DA" w:tentative="1">
      <w:start w:val="1"/>
      <w:numFmt w:val="upperRoman"/>
      <w:lvlText w:val="%5."/>
      <w:lvlJc w:val="right"/>
      <w:pPr>
        <w:tabs>
          <w:tab w:val="num" w:pos="3600"/>
        </w:tabs>
        <w:ind w:left="3600" w:hanging="360"/>
      </w:pPr>
    </w:lvl>
    <w:lvl w:ilvl="5" w:tplc="593CE748" w:tentative="1">
      <w:start w:val="1"/>
      <w:numFmt w:val="upperRoman"/>
      <w:lvlText w:val="%6."/>
      <w:lvlJc w:val="right"/>
      <w:pPr>
        <w:tabs>
          <w:tab w:val="num" w:pos="4320"/>
        </w:tabs>
        <w:ind w:left="4320" w:hanging="360"/>
      </w:pPr>
    </w:lvl>
    <w:lvl w:ilvl="6" w:tplc="5FFA8EE0" w:tentative="1">
      <w:start w:val="1"/>
      <w:numFmt w:val="upperRoman"/>
      <w:lvlText w:val="%7."/>
      <w:lvlJc w:val="right"/>
      <w:pPr>
        <w:tabs>
          <w:tab w:val="num" w:pos="5040"/>
        </w:tabs>
        <w:ind w:left="5040" w:hanging="360"/>
      </w:pPr>
    </w:lvl>
    <w:lvl w:ilvl="7" w:tplc="95A8D8AA" w:tentative="1">
      <w:start w:val="1"/>
      <w:numFmt w:val="upperRoman"/>
      <w:lvlText w:val="%8."/>
      <w:lvlJc w:val="right"/>
      <w:pPr>
        <w:tabs>
          <w:tab w:val="num" w:pos="5760"/>
        </w:tabs>
        <w:ind w:left="5760" w:hanging="360"/>
      </w:pPr>
    </w:lvl>
    <w:lvl w:ilvl="8" w:tplc="8436B604" w:tentative="1">
      <w:start w:val="1"/>
      <w:numFmt w:val="upperRoman"/>
      <w:lvlText w:val="%9."/>
      <w:lvlJc w:val="right"/>
      <w:pPr>
        <w:tabs>
          <w:tab w:val="num" w:pos="6480"/>
        </w:tabs>
        <w:ind w:left="6480" w:hanging="360"/>
      </w:pPr>
    </w:lvl>
  </w:abstractNum>
  <w:abstractNum w:abstractNumId="11"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8FC3910"/>
    <w:multiLevelType w:val="multilevel"/>
    <w:tmpl w:val="7B24B224"/>
    <w:numStyleLink w:val="BMHeadings"/>
  </w:abstractNum>
  <w:abstractNum w:abstractNumId="13"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D424C"/>
    <w:multiLevelType w:val="hybridMultilevel"/>
    <w:tmpl w:val="2E387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C5207"/>
    <w:multiLevelType w:val="hybridMultilevel"/>
    <w:tmpl w:val="5CB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92FD9"/>
    <w:multiLevelType w:val="hybridMultilevel"/>
    <w:tmpl w:val="BECE5AA2"/>
    <w:lvl w:ilvl="0" w:tplc="562E9760">
      <w:start w:val="1"/>
      <w:numFmt w:val="upperRoman"/>
      <w:lvlText w:val="%1."/>
      <w:lvlJc w:val="right"/>
      <w:pPr>
        <w:tabs>
          <w:tab w:val="num" w:pos="720"/>
        </w:tabs>
        <w:ind w:left="720" w:hanging="360"/>
      </w:pPr>
    </w:lvl>
    <w:lvl w:ilvl="1" w:tplc="D28E41A4" w:tentative="1">
      <w:start w:val="1"/>
      <w:numFmt w:val="upperRoman"/>
      <w:lvlText w:val="%2."/>
      <w:lvlJc w:val="right"/>
      <w:pPr>
        <w:tabs>
          <w:tab w:val="num" w:pos="1440"/>
        </w:tabs>
        <w:ind w:left="1440" w:hanging="360"/>
      </w:pPr>
    </w:lvl>
    <w:lvl w:ilvl="2" w:tplc="B11AA422" w:tentative="1">
      <w:start w:val="1"/>
      <w:numFmt w:val="upperRoman"/>
      <w:lvlText w:val="%3."/>
      <w:lvlJc w:val="right"/>
      <w:pPr>
        <w:tabs>
          <w:tab w:val="num" w:pos="2160"/>
        </w:tabs>
        <w:ind w:left="2160" w:hanging="360"/>
      </w:pPr>
    </w:lvl>
    <w:lvl w:ilvl="3" w:tplc="3DD2122C" w:tentative="1">
      <w:start w:val="1"/>
      <w:numFmt w:val="upperRoman"/>
      <w:lvlText w:val="%4."/>
      <w:lvlJc w:val="right"/>
      <w:pPr>
        <w:tabs>
          <w:tab w:val="num" w:pos="2880"/>
        </w:tabs>
        <w:ind w:left="2880" w:hanging="360"/>
      </w:pPr>
    </w:lvl>
    <w:lvl w:ilvl="4" w:tplc="6D34DD0A" w:tentative="1">
      <w:start w:val="1"/>
      <w:numFmt w:val="upperRoman"/>
      <w:lvlText w:val="%5."/>
      <w:lvlJc w:val="right"/>
      <w:pPr>
        <w:tabs>
          <w:tab w:val="num" w:pos="3600"/>
        </w:tabs>
        <w:ind w:left="3600" w:hanging="360"/>
      </w:pPr>
    </w:lvl>
    <w:lvl w:ilvl="5" w:tplc="4A9E2862" w:tentative="1">
      <w:start w:val="1"/>
      <w:numFmt w:val="upperRoman"/>
      <w:lvlText w:val="%6."/>
      <w:lvlJc w:val="right"/>
      <w:pPr>
        <w:tabs>
          <w:tab w:val="num" w:pos="4320"/>
        </w:tabs>
        <w:ind w:left="4320" w:hanging="360"/>
      </w:pPr>
    </w:lvl>
    <w:lvl w:ilvl="6" w:tplc="AAC82F5E" w:tentative="1">
      <w:start w:val="1"/>
      <w:numFmt w:val="upperRoman"/>
      <w:lvlText w:val="%7."/>
      <w:lvlJc w:val="right"/>
      <w:pPr>
        <w:tabs>
          <w:tab w:val="num" w:pos="5040"/>
        </w:tabs>
        <w:ind w:left="5040" w:hanging="360"/>
      </w:pPr>
    </w:lvl>
    <w:lvl w:ilvl="7" w:tplc="85742C84" w:tentative="1">
      <w:start w:val="1"/>
      <w:numFmt w:val="upperRoman"/>
      <w:lvlText w:val="%8."/>
      <w:lvlJc w:val="right"/>
      <w:pPr>
        <w:tabs>
          <w:tab w:val="num" w:pos="5760"/>
        </w:tabs>
        <w:ind w:left="5760" w:hanging="360"/>
      </w:pPr>
    </w:lvl>
    <w:lvl w:ilvl="8" w:tplc="3BD49730" w:tentative="1">
      <w:start w:val="1"/>
      <w:numFmt w:val="upperRoman"/>
      <w:lvlText w:val="%9."/>
      <w:lvlJc w:val="right"/>
      <w:pPr>
        <w:tabs>
          <w:tab w:val="num" w:pos="6480"/>
        </w:tabs>
        <w:ind w:left="6480" w:hanging="360"/>
      </w:pPr>
    </w:lvl>
  </w:abstractNum>
  <w:num w:numId="1">
    <w:abstractNumId w:val="14"/>
  </w:num>
  <w:num w:numId="2">
    <w:abstractNumId w:val="8"/>
  </w:num>
  <w:num w:numId="3">
    <w:abstractNumId w:val="13"/>
  </w:num>
  <w:num w:numId="4">
    <w:abstractNumId w:val="9"/>
  </w:num>
  <w:num w:numId="5">
    <w:abstractNumId w:val="11"/>
  </w:num>
  <w:num w:numId="6">
    <w:abstractNumId w:val="2"/>
  </w:num>
  <w:num w:numId="7">
    <w:abstractNumId w:val="13"/>
  </w:num>
  <w:num w:numId="8">
    <w:abstractNumId w:val="7"/>
  </w:num>
  <w:num w:numId="9">
    <w:abstractNumId w:val="3"/>
  </w:num>
  <w:num w:numId="10">
    <w:abstractNumId w:val="12"/>
  </w:num>
  <w:num w:numId="11">
    <w:abstractNumId w:val="11"/>
  </w:num>
  <w:num w:numId="12">
    <w:abstractNumId w:val="0"/>
  </w:num>
  <w:num w:numId="13">
    <w:abstractNumId w:val="17"/>
  </w:num>
  <w:num w:numId="14">
    <w:abstractNumId w:val="10"/>
  </w:num>
  <w:num w:numId="15">
    <w:abstractNumId w:val="1"/>
  </w:num>
  <w:num w:numId="16">
    <w:abstractNumId w:val="15"/>
  </w:num>
  <w:num w:numId="17">
    <w:abstractNumId w:val="4"/>
  </w:num>
  <w:num w:numId="18">
    <w:abstractNumId w:val="5"/>
  </w:num>
  <w:num w:numId="19">
    <w:abstractNumId w:val="16"/>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Chicago - Baker &amp; McKenzie LLP.ini"/>
  </w:docVars>
  <w:rsids>
    <w:rsidRoot w:val="00E53304"/>
    <w:rsid w:val="00002DA1"/>
    <w:rsid w:val="000077C0"/>
    <w:rsid w:val="000078AF"/>
    <w:rsid w:val="00011439"/>
    <w:rsid w:val="000114DF"/>
    <w:rsid w:val="000120F5"/>
    <w:rsid w:val="00014A2F"/>
    <w:rsid w:val="00014A6E"/>
    <w:rsid w:val="00024CBE"/>
    <w:rsid w:val="00031E79"/>
    <w:rsid w:val="000333DF"/>
    <w:rsid w:val="000357ED"/>
    <w:rsid w:val="0004251E"/>
    <w:rsid w:val="00042F3A"/>
    <w:rsid w:val="0004381C"/>
    <w:rsid w:val="00047455"/>
    <w:rsid w:val="0005218C"/>
    <w:rsid w:val="00052835"/>
    <w:rsid w:val="00053BE6"/>
    <w:rsid w:val="00055F24"/>
    <w:rsid w:val="00056F6C"/>
    <w:rsid w:val="0005769E"/>
    <w:rsid w:val="00060D4A"/>
    <w:rsid w:val="000627E6"/>
    <w:rsid w:val="00062811"/>
    <w:rsid w:val="00072736"/>
    <w:rsid w:val="00075338"/>
    <w:rsid w:val="00085D17"/>
    <w:rsid w:val="00094B37"/>
    <w:rsid w:val="000954CB"/>
    <w:rsid w:val="000A0D0E"/>
    <w:rsid w:val="000A2457"/>
    <w:rsid w:val="000A33FF"/>
    <w:rsid w:val="000A427C"/>
    <w:rsid w:val="000A4D68"/>
    <w:rsid w:val="000B6F34"/>
    <w:rsid w:val="000B74A5"/>
    <w:rsid w:val="000C4EA0"/>
    <w:rsid w:val="000C7B99"/>
    <w:rsid w:val="000D32D0"/>
    <w:rsid w:val="000D3356"/>
    <w:rsid w:val="000E7BCB"/>
    <w:rsid w:val="000F01D9"/>
    <w:rsid w:val="000F4F38"/>
    <w:rsid w:val="001001E0"/>
    <w:rsid w:val="0010055B"/>
    <w:rsid w:val="00103AE0"/>
    <w:rsid w:val="00104B01"/>
    <w:rsid w:val="00105647"/>
    <w:rsid w:val="00105C9E"/>
    <w:rsid w:val="00113F92"/>
    <w:rsid w:val="00121959"/>
    <w:rsid w:val="0012395D"/>
    <w:rsid w:val="001243C0"/>
    <w:rsid w:val="00125FFC"/>
    <w:rsid w:val="00126E4F"/>
    <w:rsid w:val="00130EFB"/>
    <w:rsid w:val="00131755"/>
    <w:rsid w:val="00133178"/>
    <w:rsid w:val="0013339B"/>
    <w:rsid w:val="0013476B"/>
    <w:rsid w:val="00134ED3"/>
    <w:rsid w:val="00140B51"/>
    <w:rsid w:val="00146465"/>
    <w:rsid w:val="0015027D"/>
    <w:rsid w:val="00153E6E"/>
    <w:rsid w:val="001543F9"/>
    <w:rsid w:val="00154749"/>
    <w:rsid w:val="00157815"/>
    <w:rsid w:val="001610B0"/>
    <w:rsid w:val="00161414"/>
    <w:rsid w:val="00163212"/>
    <w:rsid w:val="001671D5"/>
    <w:rsid w:val="0017123F"/>
    <w:rsid w:val="00172456"/>
    <w:rsid w:val="0017427B"/>
    <w:rsid w:val="00175BE0"/>
    <w:rsid w:val="001818C4"/>
    <w:rsid w:val="001838F2"/>
    <w:rsid w:val="00184EFB"/>
    <w:rsid w:val="00184F66"/>
    <w:rsid w:val="00187D36"/>
    <w:rsid w:val="001901FC"/>
    <w:rsid w:val="0019033B"/>
    <w:rsid w:val="0019579A"/>
    <w:rsid w:val="001978BD"/>
    <w:rsid w:val="001A597A"/>
    <w:rsid w:val="001A6327"/>
    <w:rsid w:val="001B0A89"/>
    <w:rsid w:val="001B0E39"/>
    <w:rsid w:val="001C3C6A"/>
    <w:rsid w:val="001C3F28"/>
    <w:rsid w:val="001C4E9D"/>
    <w:rsid w:val="001C625F"/>
    <w:rsid w:val="001C7CD8"/>
    <w:rsid w:val="001D61F9"/>
    <w:rsid w:val="001D73F5"/>
    <w:rsid w:val="001D7A36"/>
    <w:rsid w:val="001E0AD1"/>
    <w:rsid w:val="001E1353"/>
    <w:rsid w:val="001E3B89"/>
    <w:rsid w:val="001E447D"/>
    <w:rsid w:val="001E5061"/>
    <w:rsid w:val="001E5E77"/>
    <w:rsid w:val="001E62E2"/>
    <w:rsid w:val="001F113F"/>
    <w:rsid w:val="001F66ED"/>
    <w:rsid w:val="0020082F"/>
    <w:rsid w:val="00205B3E"/>
    <w:rsid w:val="00206C8A"/>
    <w:rsid w:val="0021026A"/>
    <w:rsid w:val="00215BE7"/>
    <w:rsid w:val="002242B0"/>
    <w:rsid w:val="0023082E"/>
    <w:rsid w:val="00234370"/>
    <w:rsid w:val="00234E15"/>
    <w:rsid w:val="00235F30"/>
    <w:rsid w:val="00236556"/>
    <w:rsid w:val="00236C9A"/>
    <w:rsid w:val="00237865"/>
    <w:rsid w:val="00240ADE"/>
    <w:rsid w:val="002432F0"/>
    <w:rsid w:val="00243F64"/>
    <w:rsid w:val="00246A40"/>
    <w:rsid w:val="002478D3"/>
    <w:rsid w:val="002527D2"/>
    <w:rsid w:val="00254BF4"/>
    <w:rsid w:val="00261E9B"/>
    <w:rsid w:val="002623F7"/>
    <w:rsid w:val="00265E0A"/>
    <w:rsid w:val="00277321"/>
    <w:rsid w:val="002815D1"/>
    <w:rsid w:val="00284792"/>
    <w:rsid w:val="00291205"/>
    <w:rsid w:val="0029128F"/>
    <w:rsid w:val="00291F96"/>
    <w:rsid w:val="00292FC9"/>
    <w:rsid w:val="00294541"/>
    <w:rsid w:val="00295431"/>
    <w:rsid w:val="002A1866"/>
    <w:rsid w:val="002A1A4B"/>
    <w:rsid w:val="002A3D6A"/>
    <w:rsid w:val="002A4D1B"/>
    <w:rsid w:val="002B195D"/>
    <w:rsid w:val="002B7957"/>
    <w:rsid w:val="002C2EFE"/>
    <w:rsid w:val="002C2F3F"/>
    <w:rsid w:val="002C6C67"/>
    <w:rsid w:val="002C779C"/>
    <w:rsid w:val="002D21CB"/>
    <w:rsid w:val="002D3DAC"/>
    <w:rsid w:val="002D40B6"/>
    <w:rsid w:val="002D4B12"/>
    <w:rsid w:val="002D72B1"/>
    <w:rsid w:val="002D742B"/>
    <w:rsid w:val="002E2FA0"/>
    <w:rsid w:val="002E366D"/>
    <w:rsid w:val="002E43E4"/>
    <w:rsid w:val="002F285D"/>
    <w:rsid w:val="002F38C4"/>
    <w:rsid w:val="002F7552"/>
    <w:rsid w:val="002F76FE"/>
    <w:rsid w:val="0030047B"/>
    <w:rsid w:val="00300B2D"/>
    <w:rsid w:val="003027A1"/>
    <w:rsid w:val="0030549B"/>
    <w:rsid w:val="00310127"/>
    <w:rsid w:val="0031062A"/>
    <w:rsid w:val="00312E78"/>
    <w:rsid w:val="003133DB"/>
    <w:rsid w:val="00315D6C"/>
    <w:rsid w:val="00316365"/>
    <w:rsid w:val="0031700A"/>
    <w:rsid w:val="003222FC"/>
    <w:rsid w:val="00326BB3"/>
    <w:rsid w:val="0033038F"/>
    <w:rsid w:val="003303AA"/>
    <w:rsid w:val="00332047"/>
    <w:rsid w:val="00334427"/>
    <w:rsid w:val="00340B02"/>
    <w:rsid w:val="00343B1A"/>
    <w:rsid w:val="00346AF4"/>
    <w:rsid w:val="00347F2B"/>
    <w:rsid w:val="00352CCE"/>
    <w:rsid w:val="00353257"/>
    <w:rsid w:val="00360796"/>
    <w:rsid w:val="0036159F"/>
    <w:rsid w:val="003620E2"/>
    <w:rsid w:val="00377A6B"/>
    <w:rsid w:val="00381B28"/>
    <w:rsid w:val="003832A0"/>
    <w:rsid w:val="003844F9"/>
    <w:rsid w:val="00391DBD"/>
    <w:rsid w:val="00392976"/>
    <w:rsid w:val="00392C38"/>
    <w:rsid w:val="00393005"/>
    <w:rsid w:val="00393837"/>
    <w:rsid w:val="003A0E76"/>
    <w:rsid w:val="003A172D"/>
    <w:rsid w:val="003A4AEE"/>
    <w:rsid w:val="003A5773"/>
    <w:rsid w:val="003A6685"/>
    <w:rsid w:val="003A7D1A"/>
    <w:rsid w:val="003B077D"/>
    <w:rsid w:val="003B1232"/>
    <w:rsid w:val="003B1C31"/>
    <w:rsid w:val="003B7604"/>
    <w:rsid w:val="003C1468"/>
    <w:rsid w:val="003C3F2C"/>
    <w:rsid w:val="003C57D3"/>
    <w:rsid w:val="003C64FC"/>
    <w:rsid w:val="003C6870"/>
    <w:rsid w:val="003D2888"/>
    <w:rsid w:val="003E035D"/>
    <w:rsid w:val="003E3764"/>
    <w:rsid w:val="003F3319"/>
    <w:rsid w:val="004011D3"/>
    <w:rsid w:val="0040189E"/>
    <w:rsid w:val="0040563F"/>
    <w:rsid w:val="00406F3D"/>
    <w:rsid w:val="00415049"/>
    <w:rsid w:val="00415B7B"/>
    <w:rsid w:val="004205CE"/>
    <w:rsid w:val="00421D25"/>
    <w:rsid w:val="004233FC"/>
    <w:rsid w:val="00423819"/>
    <w:rsid w:val="0042403C"/>
    <w:rsid w:val="00424AEE"/>
    <w:rsid w:val="0042605E"/>
    <w:rsid w:val="00433BA7"/>
    <w:rsid w:val="00433DD2"/>
    <w:rsid w:val="00435EE8"/>
    <w:rsid w:val="00452C78"/>
    <w:rsid w:val="00455875"/>
    <w:rsid w:val="004560E4"/>
    <w:rsid w:val="00456FD2"/>
    <w:rsid w:val="00457592"/>
    <w:rsid w:val="00465E90"/>
    <w:rsid w:val="004677E4"/>
    <w:rsid w:val="0047206C"/>
    <w:rsid w:val="004728E9"/>
    <w:rsid w:val="004734DE"/>
    <w:rsid w:val="0047456E"/>
    <w:rsid w:val="004763B4"/>
    <w:rsid w:val="0048064E"/>
    <w:rsid w:val="00480EA5"/>
    <w:rsid w:val="0048104E"/>
    <w:rsid w:val="00483B25"/>
    <w:rsid w:val="0048636D"/>
    <w:rsid w:val="004927C0"/>
    <w:rsid w:val="004971CF"/>
    <w:rsid w:val="004A2B35"/>
    <w:rsid w:val="004A5959"/>
    <w:rsid w:val="004B0383"/>
    <w:rsid w:val="004B0E87"/>
    <w:rsid w:val="004B287D"/>
    <w:rsid w:val="004B64CF"/>
    <w:rsid w:val="004C0C97"/>
    <w:rsid w:val="004C1114"/>
    <w:rsid w:val="004C262E"/>
    <w:rsid w:val="004C6E17"/>
    <w:rsid w:val="004D5B01"/>
    <w:rsid w:val="004D79CA"/>
    <w:rsid w:val="004E10C5"/>
    <w:rsid w:val="004F30BE"/>
    <w:rsid w:val="004F59BD"/>
    <w:rsid w:val="004F7E3B"/>
    <w:rsid w:val="0050313C"/>
    <w:rsid w:val="00503F30"/>
    <w:rsid w:val="0050446B"/>
    <w:rsid w:val="00504EDA"/>
    <w:rsid w:val="005078F5"/>
    <w:rsid w:val="0051600E"/>
    <w:rsid w:val="00526D90"/>
    <w:rsid w:val="00527B79"/>
    <w:rsid w:val="0053007C"/>
    <w:rsid w:val="00537E0B"/>
    <w:rsid w:val="005443AE"/>
    <w:rsid w:val="005447B0"/>
    <w:rsid w:val="00546153"/>
    <w:rsid w:val="0055059E"/>
    <w:rsid w:val="00551900"/>
    <w:rsid w:val="00552D76"/>
    <w:rsid w:val="00555AC5"/>
    <w:rsid w:val="00560578"/>
    <w:rsid w:val="005633C2"/>
    <w:rsid w:val="0056522A"/>
    <w:rsid w:val="005675D1"/>
    <w:rsid w:val="00572E81"/>
    <w:rsid w:val="00573F87"/>
    <w:rsid w:val="00573FB3"/>
    <w:rsid w:val="00574A7C"/>
    <w:rsid w:val="00576221"/>
    <w:rsid w:val="00576604"/>
    <w:rsid w:val="0058083C"/>
    <w:rsid w:val="00581CB0"/>
    <w:rsid w:val="00584AC2"/>
    <w:rsid w:val="00586EE7"/>
    <w:rsid w:val="00593571"/>
    <w:rsid w:val="00595DEC"/>
    <w:rsid w:val="00596105"/>
    <w:rsid w:val="005A2D0C"/>
    <w:rsid w:val="005A342F"/>
    <w:rsid w:val="005A7AC0"/>
    <w:rsid w:val="005A7BD4"/>
    <w:rsid w:val="005B2AD6"/>
    <w:rsid w:val="005C069B"/>
    <w:rsid w:val="005C22AA"/>
    <w:rsid w:val="005C351C"/>
    <w:rsid w:val="005C35A4"/>
    <w:rsid w:val="005C631E"/>
    <w:rsid w:val="005E226C"/>
    <w:rsid w:val="005E2D62"/>
    <w:rsid w:val="005E3C6C"/>
    <w:rsid w:val="005E6576"/>
    <w:rsid w:val="005E75DB"/>
    <w:rsid w:val="005E79B1"/>
    <w:rsid w:val="005E7ED3"/>
    <w:rsid w:val="005F0115"/>
    <w:rsid w:val="005F0FC9"/>
    <w:rsid w:val="005F4068"/>
    <w:rsid w:val="005F48C4"/>
    <w:rsid w:val="005F6754"/>
    <w:rsid w:val="005F6F7C"/>
    <w:rsid w:val="00600930"/>
    <w:rsid w:val="006140C4"/>
    <w:rsid w:val="00616DFF"/>
    <w:rsid w:val="006205D6"/>
    <w:rsid w:val="0062192E"/>
    <w:rsid w:val="00623F76"/>
    <w:rsid w:val="00625919"/>
    <w:rsid w:val="006264E1"/>
    <w:rsid w:val="00626E57"/>
    <w:rsid w:val="006275BC"/>
    <w:rsid w:val="00631F0C"/>
    <w:rsid w:val="006326B3"/>
    <w:rsid w:val="00636261"/>
    <w:rsid w:val="0063635F"/>
    <w:rsid w:val="00637F03"/>
    <w:rsid w:val="006416FB"/>
    <w:rsid w:val="00642B73"/>
    <w:rsid w:val="00645B4A"/>
    <w:rsid w:val="006460CE"/>
    <w:rsid w:val="006527AB"/>
    <w:rsid w:val="0065465A"/>
    <w:rsid w:val="006572B6"/>
    <w:rsid w:val="006607F4"/>
    <w:rsid w:val="00662EFB"/>
    <w:rsid w:val="00664CE8"/>
    <w:rsid w:val="00664DD3"/>
    <w:rsid w:val="006669B1"/>
    <w:rsid w:val="00666BBD"/>
    <w:rsid w:val="006704DE"/>
    <w:rsid w:val="00671347"/>
    <w:rsid w:val="0067556D"/>
    <w:rsid w:val="006763C7"/>
    <w:rsid w:val="00682902"/>
    <w:rsid w:val="00684ADE"/>
    <w:rsid w:val="0069002B"/>
    <w:rsid w:val="006913C8"/>
    <w:rsid w:val="00692FB9"/>
    <w:rsid w:val="006B6439"/>
    <w:rsid w:val="006C604A"/>
    <w:rsid w:val="006C6AC4"/>
    <w:rsid w:val="006D28BF"/>
    <w:rsid w:val="006D5D19"/>
    <w:rsid w:val="006E0F9A"/>
    <w:rsid w:val="006E209F"/>
    <w:rsid w:val="006E31C2"/>
    <w:rsid w:val="006F0D1B"/>
    <w:rsid w:val="006F6933"/>
    <w:rsid w:val="00701952"/>
    <w:rsid w:val="0070408F"/>
    <w:rsid w:val="00705D2F"/>
    <w:rsid w:val="007068FA"/>
    <w:rsid w:val="0070694B"/>
    <w:rsid w:val="007127D0"/>
    <w:rsid w:val="00712B77"/>
    <w:rsid w:val="007143FE"/>
    <w:rsid w:val="00723D11"/>
    <w:rsid w:val="0072412A"/>
    <w:rsid w:val="007311D1"/>
    <w:rsid w:val="0073195E"/>
    <w:rsid w:val="00737145"/>
    <w:rsid w:val="00752684"/>
    <w:rsid w:val="00757F6C"/>
    <w:rsid w:val="007618CE"/>
    <w:rsid w:val="007703B9"/>
    <w:rsid w:val="0077592D"/>
    <w:rsid w:val="00780336"/>
    <w:rsid w:val="00781E4C"/>
    <w:rsid w:val="00786687"/>
    <w:rsid w:val="00794C7D"/>
    <w:rsid w:val="007A24F7"/>
    <w:rsid w:val="007B21BF"/>
    <w:rsid w:val="007B74CC"/>
    <w:rsid w:val="007C13E3"/>
    <w:rsid w:val="007C174F"/>
    <w:rsid w:val="007C1E95"/>
    <w:rsid w:val="007C3C64"/>
    <w:rsid w:val="007D08CC"/>
    <w:rsid w:val="007D1A59"/>
    <w:rsid w:val="007D1F38"/>
    <w:rsid w:val="007D2B85"/>
    <w:rsid w:val="007D7640"/>
    <w:rsid w:val="007F055F"/>
    <w:rsid w:val="007F07E7"/>
    <w:rsid w:val="007F2093"/>
    <w:rsid w:val="007F44CE"/>
    <w:rsid w:val="007F6120"/>
    <w:rsid w:val="00802132"/>
    <w:rsid w:val="0080529C"/>
    <w:rsid w:val="008136D9"/>
    <w:rsid w:val="00816876"/>
    <w:rsid w:val="00825D81"/>
    <w:rsid w:val="0082787B"/>
    <w:rsid w:val="00827B4C"/>
    <w:rsid w:val="00830CEF"/>
    <w:rsid w:val="00833B8E"/>
    <w:rsid w:val="008409EF"/>
    <w:rsid w:val="008433AB"/>
    <w:rsid w:val="00845E28"/>
    <w:rsid w:val="0084680D"/>
    <w:rsid w:val="00847C80"/>
    <w:rsid w:val="008529EA"/>
    <w:rsid w:val="00852DED"/>
    <w:rsid w:val="00854E14"/>
    <w:rsid w:val="00855585"/>
    <w:rsid w:val="00860E5C"/>
    <w:rsid w:val="00861B22"/>
    <w:rsid w:val="00866232"/>
    <w:rsid w:val="00871540"/>
    <w:rsid w:val="00871F66"/>
    <w:rsid w:val="00872FCE"/>
    <w:rsid w:val="00873974"/>
    <w:rsid w:val="0087632C"/>
    <w:rsid w:val="0087729A"/>
    <w:rsid w:val="0088416A"/>
    <w:rsid w:val="0088504C"/>
    <w:rsid w:val="00887E57"/>
    <w:rsid w:val="008903A9"/>
    <w:rsid w:val="0089075E"/>
    <w:rsid w:val="0089163C"/>
    <w:rsid w:val="008A5057"/>
    <w:rsid w:val="008A5815"/>
    <w:rsid w:val="008B0A70"/>
    <w:rsid w:val="008B14D2"/>
    <w:rsid w:val="008B4153"/>
    <w:rsid w:val="008B7117"/>
    <w:rsid w:val="008C27FB"/>
    <w:rsid w:val="008C35FA"/>
    <w:rsid w:val="008C6C03"/>
    <w:rsid w:val="008C74A4"/>
    <w:rsid w:val="008E1CEA"/>
    <w:rsid w:val="008E5E4A"/>
    <w:rsid w:val="008F2349"/>
    <w:rsid w:val="008F7AD2"/>
    <w:rsid w:val="009018DC"/>
    <w:rsid w:val="00902ECD"/>
    <w:rsid w:val="0091078C"/>
    <w:rsid w:val="00916BFF"/>
    <w:rsid w:val="009201FB"/>
    <w:rsid w:val="0092113C"/>
    <w:rsid w:val="00921922"/>
    <w:rsid w:val="00926C9A"/>
    <w:rsid w:val="00926EED"/>
    <w:rsid w:val="009303DF"/>
    <w:rsid w:val="0093049A"/>
    <w:rsid w:val="0093259A"/>
    <w:rsid w:val="0093391C"/>
    <w:rsid w:val="00940987"/>
    <w:rsid w:val="00941C06"/>
    <w:rsid w:val="00941F82"/>
    <w:rsid w:val="00945C18"/>
    <w:rsid w:val="0094720A"/>
    <w:rsid w:val="00950A52"/>
    <w:rsid w:val="00952360"/>
    <w:rsid w:val="0095432D"/>
    <w:rsid w:val="00954A26"/>
    <w:rsid w:val="00954C96"/>
    <w:rsid w:val="00954EF5"/>
    <w:rsid w:val="0095503B"/>
    <w:rsid w:val="00957FFA"/>
    <w:rsid w:val="009610E1"/>
    <w:rsid w:val="00966188"/>
    <w:rsid w:val="00971297"/>
    <w:rsid w:val="0097177D"/>
    <w:rsid w:val="00973730"/>
    <w:rsid w:val="00975DE4"/>
    <w:rsid w:val="0097709D"/>
    <w:rsid w:val="0097780D"/>
    <w:rsid w:val="0098528E"/>
    <w:rsid w:val="009864C3"/>
    <w:rsid w:val="0099482C"/>
    <w:rsid w:val="00997059"/>
    <w:rsid w:val="009A3701"/>
    <w:rsid w:val="009B746D"/>
    <w:rsid w:val="009C1EA1"/>
    <w:rsid w:val="009C4A67"/>
    <w:rsid w:val="009D1963"/>
    <w:rsid w:val="009D2BE5"/>
    <w:rsid w:val="009D45A0"/>
    <w:rsid w:val="009D46D9"/>
    <w:rsid w:val="009E06A4"/>
    <w:rsid w:val="009E374D"/>
    <w:rsid w:val="009E5F3B"/>
    <w:rsid w:val="009E6DCE"/>
    <w:rsid w:val="009F032D"/>
    <w:rsid w:val="009F03FB"/>
    <w:rsid w:val="009F339E"/>
    <w:rsid w:val="009F6478"/>
    <w:rsid w:val="009F6584"/>
    <w:rsid w:val="00A055B9"/>
    <w:rsid w:val="00A0573E"/>
    <w:rsid w:val="00A10FDE"/>
    <w:rsid w:val="00A16039"/>
    <w:rsid w:val="00A1681D"/>
    <w:rsid w:val="00A2341F"/>
    <w:rsid w:val="00A23C59"/>
    <w:rsid w:val="00A34D7A"/>
    <w:rsid w:val="00A37CA6"/>
    <w:rsid w:val="00A41C0A"/>
    <w:rsid w:val="00A42406"/>
    <w:rsid w:val="00A449A1"/>
    <w:rsid w:val="00A45E8E"/>
    <w:rsid w:val="00A47A3B"/>
    <w:rsid w:val="00A514CB"/>
    <w:rsid w:val="00A51DB7"/>
    <w:rsid w:val="00A54563"/>
    <w:rsid w:val="00A56441"/>
    <w:rsid w:val="00A62B70"/>
    <w:rsid w:val="00A641D1"/>
    <w:rsid w:val="00A73B5B"/>
    <w:rsid w:val="00A73DE3"/>
    <w:rsid w:val="00A775C8"/>
    <w:rsid w:val="00A82DF7"/>
    <w:rsid w:val="00A83852"/>
    <w:rsid w:val="00A843E7"/>
    <w:rsid w:val="00A87132"/>
    <w:rsid w:val="00A9105B"/>
    <w:rsid w:val="00A96FDC"/>
    <w:rsid w:val="00AA19FE"/>
    <w:rsid w:val="00AA1F82"/>
    <w:rsid w:val="00AA635B"/>
    <w:rsid w:val="00AC4EA5"/>
    <w:rsid w:val="00AC66F6"/>
    <w:rsid w:val="00AF2DD9"/>
    <w:rsid w:val="00AF2EC5"/>
    <w:rsid w:val="00AF2F68"/>
    <w:rsid w:val="00AF3471"/>
    <w:rsid w:val="00AF665D"/>
    <w:rsid w:val="00AF6726"/>
    <w:rsid w:val="00AF74EB"/>
    <w:rsid w:val="00AF7E98"/>
    <w:rsid w:val="00B00BC1"/>
    <w:rsid w:val="00B03D71"/>
    <w:rsid w:val="00B0687C"/>
    <w:rsid w:val="00B1260B"/>
    <w:rsid w:val="00B13400"/>
    <w:rsid w:val="00B16823"/>
    <w:rsid w:val="00B17D35"/>
    <w:rsid w:val="00B17FEB"/>
    <w:rsid w:val="00B21C11"/>
    <w:rsid w:val="00B25F0C"/>
    <w:rsid w:val="00B3037B"/>
    <w:rsid w:val="00B306DA"/>
    <w:rsid w:val="00B32C54"/>
    <w:rsid w:val="00B334FB"/>
    <w:rsid w:val="00B3362A"/>
    <w:rsid w:val="00B36A6A"/>
    <w:rsid w:val="00B37A65"/>
    <w:rsid w:val="00B40FCD"/>
    <w:rsid w:val="00B4105B"/>
    <w:rsid w:val="00B42511"/>
    <w:rsid w:val="00B569C4"/>
    <w:rsid w:val="00B56FC3"/>
    <w:rsid w:val="00B626E2"/>
    <w:rsid w:val="00B63C76"/>
    <w:rsid w:val="00B66D8F"/>
    <w:rsid w:val="00B7270E"/>
    <w:rsid w:val="00B72771"/>
    <w:rsid w:val="00B73E71"/>
    <w:rsid w:val="00B73FB4"/>
    <w:rsid w:val="00B74A96"/>
    <w:rsid w:val="00B74C05"/>
    <w:rsid w:val="00B75835"/>
    <w:rsid w:val="00B77C0B"/>
    <w:rsid w:val="00B821B8"/>
    <w:rsid w:val="00B867AA"/>
    <w:rsid w:val="00B87482"/>
    <w:rsid w:val="00B87B38"/>
    <w:rsid w:val="00B900BB"/>
    <w:rsid w:val="00B92696"/>
    <w:rsid w:val="00B941DB"/>
    <w:rsid w:val="00B949C8"/>
    <w:rsid w:val="00B94AD9"/>
    <w:rsid w:val="00B95A78"/>
    <w:rsid w:val="00B96080"/>
    <w:rsid w:val="00B97181"/>
    <w:rsid w:val="00BA2C1C"/>
    <w:rsid w:val="00BA3F17"/>
    <w:rsid w:val="00BA7AB9"/>
    <w:rsid w:val="00BB10FC"/>
    <w:rsid w:val="00BB75E1"/>
    <w:rsid w:val="00BC043B"/>
    <w:rsid w:val="00BD0AE6"/>
    <w:rsid w:val="00BD2CB6"/>
    <w:rsid w:val="00BD59BF"/>
    <w:rsid w:val="00BE3F6C"/>
    <w:rsid w:val="00BE65B9"/>
    <w:rsid w:val="00BE7402"/>
    <w:rsid w:val="00BF3DEE"/>
    <w:rsid w:val="00BF4BE2"/>
    <w:rsid w:val="00C011A8"/>
    <w:rsid w:val="00C018A3"/>
    <w:rsid w:val="00C04452"/>
    <w:rsid w:val="00C068ED"/>
    <w:rsid w:val="00C15229"/>
    <w:rsid w:val="00C174EA"/>
    <w:rsid w:val="00C21FD8"/>
    <w:rsid w:val="00C2238C"/>
    <w:rsid w:val="00C251B6"/>
    <w:rsid w:val="00C2531B"/>
    <w:rsid w:val="00C32E7E"/>
    <w:rsid w:val="00C34C70"/>
    <w:rsid w:val="00C3692B"/>
    <w:rsid w:val="00C411B0"/>
    <w:rsid w:val="00C454BA"/>
    <w:rsid w:val="00C458F8"/>
    <w:rsid w:val="00C50170"/>
    <w:rsid w:val="00C501D6"/>
    <w:rsid w:val="00C547C0"/>
    <w:rsid w:val="00C57A33"/>
    <w:rsid w:val="00C65D8E"/>
    <w:rsid w:val="00C80591"/>
    <w:rsid w:val="00C8138C"/>
    <w:rsid w:val="00C8375E"/>
    <w:rsid w:val="00C83E6E"/>
    <w:rsid w:val="00C84DF3"/>
    <w:rsid w:val="00C85151"/>
    <w:rsid w:val="00C858B2"/>
    <w:rsid w:val="00C86475"/>
    <w:rsid w:val="00C90C5F"/>
    <w:rsid w:val="00C92E8B"/>
    <w:rsid w:val="00C9494E"/>
    <w:rsid w:val="00C95158"/>
    <w:rsid w:val="00C96A8F"/>
    <w:rsid w:val="00CA5976"/>
    <w:rsid w:val="00CB209E"/>
    <w:rsid w:val="00CB2B89"/>
    <w:rsid w:val="00CB5011"/>
    <w:rsid w:val="00CC042E"/>
    <w:rsid w:val="00CC0AE2"/>
    <w:rsid w:val="00CC6C84"/>
    <w:rsid w:val="00CC78E4"/>
    <w:rsid w:val="00CE22CC"/>
    <w:rsid w:val="00CE5DC4"/>
    <w:rsid w:val="00CE6751"/>
    <w:rsid w:val="00CF0094"/>
    <w:rsid w:val="00CF3643"/>
    <w:rsid w:val="00D0099B"/>
    <w:rsid w:val="00D024B9"/>
    <w:rsid w:val="00D04390"/>
    <w:rsid w:val="00D10E0F"/>
    <w:rsid w:val="00D15E33"/>
    <w:rsid w:val="00D16126"/>
    <w:rsid w:val="00D16152"/>
    <w:rsid w:val="00D20CF1"/>
    <w:rsid w:val="00D22D36"/>
    <w:rsid w:val="00D239F8"/>
    <w:rsid w:val="00D25922"/>
    <w:rsid w:val="00D36214"/>
    <w:rsid w:val="00D41D15"/>
    <w:rsid w:val="00D42BFB"/>
    <w:rsid w:val="00D438C2"/>
    <w:rsid w:val="00D448FD"/>
    <w:rsid w:val="00D558D9"/>
    <w:rsid w:val="00D609AE"/>
    <w:rsid w:val="00D6678C"/>
    <w:rsid w:val="00D7045A"/>
    <w:rsid w:val="00D707F7"/>
    <w:rsid w:val="00D70A4D"/>
    <w:rsid w:val="00D70AEF"/>
    <w:rsid w:val="00D739FC"/>
    <w:rsid w:val="00D7478A"/>
    <w:rsid w:val="00D76997"/>
    <w:rsid w:val="00D81130"/>
    <w:rsid w:val="00D83414"/>
    <w:rsid w:val="00D86707"/>
    <w:rsid w:val="00D91BEB"/>
    <w:rsid w:val="00D921B3"/>
    <w:rsid w:val="00DA6A58"/>
    <w:rsid w:val="00DA7D28"/>
    <w:rsid w:val="00DB0069"/>
    <w:rsid w:val="00DB0A45"/>
    <w:rsid w:val="00DB0DE4"/>
    <w:rsid w:val="00DB13D6"/>
    <w:rsid w:val="00DC3555"/>
    <w:rsid w:val="00DC3EDE"/>
    <w:rsid w:val="00DE237D"/>
    <w:rsid w:val="00DE3D8C"/>
    <w:rsid w:val="00DE3EB4"/>
    <w:rsid w:val="00DE4B99"/>
    <w:rsid w:val="00DF4490"/>
    <w:rsid w:val="00DF6170"/>
    <w:rsid w:val="00DF6DDA"/>
    <w:rsid w:val="00E0111B"/>
    <w:rsid w:val="00E04B64"/>
    <w:rsid w:val="00E0711B"/>
    <w:rsid w:val="00E105AD"/>
    <w:rsid w:val="00E10E1C"/>
    <w:rsid w:val="00E11881"/>
    <w:rsid w:val="00E13380"/>
    <w:rsid w:val="00E15F94"/>
    <w:rsid w:val="00E25324"/>
    <w:rsid w:val="00E32E81"/>
    <w:rsid w:val="00E4255B"/>
    <w:rsid w:val="00E43D44"/>
    <w:rsid w:val="00E47FB2"/>
    <w:rsid w:val="00E50D51"/>
    <w:rsid w:val="00E53304"/>
    <w:rsid w:val="00E55824"/>
    <w:rsid w:val="00E558E8"/>
    <w:rsid w:val="00E64F75"/>
    <w:rsid w:val="00E7092D"/>
    <w:rsid w:val="00E717A7"/>
    <w:rsid w:val="00E72E89"/>
    <w:rsid w:val="00E85850"/>
    <w:rsid w:val="00E86B76"/>
    <w:rsid w:val="00E911D2"/>
    <w:rsid w:val="00E9148C"/>
    <w:rsid w:val="00E9507A"/>
    <w:rsid w:val="00EA0872"/>
    <w:rsid w:val="00EA11BE"/>
    <w:rsid w:val="00EA67AE"/>
    <w:rsid w:val="00EB3DC6"/>
    <w:rsid w:val="00EB766E"/>
    <w:rsid w:val="00EB7BB7"/>
    <w:rsid w:val="00EB7FFA"/>
    <w:rsid w:val="00EC0600"/>
    <w:rsid w:val="00EC1F1E"/>
    <w:rsid w:val="00EC5BD0"/>
    <w:rsid w:val="00EC5FCC"/>
    <w:rsid w:val="00ED5C56"/>
    <w:rsid w:val="00ED7579"/>
    <w:rsid w:val="00ED7AB5"/>
    <w:rsid w:val="00EE55E4"/>
    <w:rsid w:val="00EE5C33"/>
    <w:rsid w:val="00EF4B18"/>
    <w:rsid w:val="00EF655E"/>
    <w:rsid w:val="00EF6E6F"/>
    <w:rsid w:val="00F01D4A"/>
    <w:rsid w:val="00F0221B"/>
    <w:rsid w:val="00F02BCF"/>
    <w:rsid w:val="00F02FD5"/>
    <w:rsid w:val="00F04AB0"/>
    <w:rsid w:val="00F054D3"/>
    <w:rsid w:val="00F1142A"/>
    <w:rsid w:val="00F12752"/>
    <w:rsid w:val="00F12CBF"/>
    <w:rsid w:val="00F2200B"/>
    <w:rsid w:val="00F227C2"/>
    <w:rsid w:val="00F22E26"/>
    <w:rsid w:val="00F23607"/>
    <w:rsid w:val="00F2397B"/>
    <w:rsid w:val="00F342AB"/>
    <w:rsid w:val="00F353A3"/>
    <w:rsid w:val="00F36BE3"/>
    <w:rsid w:val="00F4141C"/>
    <w:rsid w:val="00F41B65"/>
    <w:rsid w:val="00F461F8"/>
    <w:rsid w:val="00F4703F"/>
    <w:rsid w:val="00F50C1A"/>
    <w:rsid w:val="00F5106C"/>
    <w:rsid w:val="00F5337A"/>
    <w:rsid w:val="00F61DE6"/>
    <w:rsid w:val="00F623FE"/>
    <w:rsid w:val="00F6438D"/>
    <w:rsid w:val="00F670E2"/>
    <w:rsid w:val="00F70E4B"/>
    <w:rsid w:val="00F72410"/>
    <w:rsid w:val="00F746C4"/>
    <w:rsid w:val="00F75E5A"/>
    <w:rsid w:val="00F75F76"/>
    <w:rsid w:val="00F7727A"/>
    <w:rsid w:val="00F86C5C"/>
    <w:rsid w:val="00F905AF"/>
    <w:rsid w:val="00F92EBC"/>
    <w:rsid w:val="00F92EF6"/>
    <w:rsid w:val="00F93784"/>
    <w:rsid w:val="00F94FFE"/>
    <w:rsid w:val="00F96615"/>
    <w:rsid w:val="00F96DED"/>
    <w:rsid w:val="00F974AA"/>
    <w:rsid w:val="00FA2348"/>
    <w:rsid w:val="00FA32F5"/>
    <w:rsid w:val="00FA4D3E"/>
    <w:rsid w:val="00FA7CBF"/>
    <w:rsid w:val="00FB05F4"/>
    <w:rsid w:val="00FB2105"/>
    <w:rsid w:val="00FB3AB2"/>
    <w:rsid w:val="00FC552E"/>
    <w:rsid w:val="00FC7526"/>
    <w:rsid w:val="00FD47C4"/>
    <w:rsid w:val="00FE2A58"/>
    <w:rsid w:val="00FE6A9B"/>
    <w:rsid w:val="00FF1DF4"/>
    <w:rsid w:val="00FF1FD1"/>
    <w:rsid w:val="00FF6798"/>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FD3DF"/>
  <w15:chartTrackingRefBased/>
  <w15:docId w15:val="{2CD880C5-0760-4801-9FCB-5882F4CE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55"/>
    <w:pPr>
      <w:spacing w:after="0" w:line="240" w:lineRule="auto"/>
    </w:pPr>
    <w:rPr>
      <w:rFonts w:ascii="Times New Roman" w:hAnsi="Times New Roman" w:cs="Times New Roman"/>
      <w:sz w:val="24"/>
      <w:szCs w:val="20"/>
    </w:rPr>
  </w:style>
  <w:style w:type="paragraph" w:styleId="Heading1">
    <w:name w:val="heading 1"/>
    <w:basedOn w:val="Normal"/>
    <w:next w:val="BodyText"/>
    <w:link w:val="Heading1Char"/>
    <w:qFormat/>
    <w:rsid w:val="00A83852"/>
    <w:pPr>
      <w:keepNext/>
      <w:keepLines/>
      <w:numPr>
        <w:numId w:val="12"/>
      </w:numPr>
      <w:spacing w:before="240" w:line="240" w:lineRule="exact"/>
      <w:ind w:right="720"/>
      <w:jc w:val="both"/>
      <w:outlineLvl w:val="0"/>
    </w:pPr>
    <w:rPr>
      <w:b/>
      <w:caps/>
      <w:u w:val="single"/>
    </w:rPr>
  </w:style>
  <w:style w:type="paragraph" w:styleId="Heading2">
    <w:name w:val="heading 2"/>
    <w:basedOn w:val="Normal"/>
    <w:next w:val="BodyText"/>
    <w:link w:val="Heading2Char"/>
    <w:qFormat/>
    <w:rsid w:val="00574A7C"/>
    <w:pPr>
      <w:keepNext/>
      <w:keepLines/>
      <w:numPr>
        <w:ilvl w:val="1"/>
        <w:numId w:val="12"/>
      </w:numPr>
      <w:spacing w:before="240" w:line="240" w:lineRule="exact"/>
      <w:ind w:right="720"/>
      <w:outlineLvl w:val="1"/>
    </w:pPr>
    <w:rPr>
      <w:b/>
    </w:rPr>
  </w:style>
  <w:style w:type="paragraph" w:styleId="Heading3">
    <w:name w:val="heading 3"/>
    <w:basedOn w:val="Normal"/>
    <w:next w:val="BodyText"/>
    <w:link w:val="Heading3Char"/>
    <w:qFormat/>
    <w:rsid w:val="009864C3"/>
    <w:pPr>
      <w:keepNext/>
      <w:keepLines/>
      <w:numPr>
        <w:ilvl w:val="2"/>
        <w:numId w:val="12"/>
      </w:numPr>
      <w:spacing w:before="240" w:after="240" w:line="240" w:lineRule="exact"/>
      <w:ind w:right="720"/>
      <w:outlineLvl w:val="2"/>
    </w:pPr>
  </w:style>
  <w:style w:type="paragraph" w:styleId="Heading4">
    <w:name w:val="heading 4"/>
    <w:basedOn w:val="Normal"/>
    <w:next w:val="BodyText"/>
    <w:link w:val="Heading4Char"/>
    <w:qFormat/>
    <w:rsid w:val="00574A7C"/>
    <w:pPr>
      <w:keepNext/>
      <w:keepLines/>
      <w:numPr>
        <w:ilvl w:val="3"/>
        <w:numId w:val="12"/>
      </w:numPr>
      <w:spacing w:before="240" w:line="240" w:lineRule="exact"/>
      <w:ind w:right="720"/>
      <w:outlineLvl w:val="3"/>
    </w:pPr>
  </w:style>
  <w:style w:type="paragraph" w:styleId="Heading5">
    <w:name w:val="heading 5"/>
    <w:basedOn w:val="Normal"/>
    <w:next w:val="BodyText"/>
    <w:link w:val="Heading5Char"/>
    <w:qFormat/>
    <w:rsid w:val="00574A7C"/>
    <w:pPr>
      <w:keepNext/>
      <w:keepLines/>
      <w:numPr>
        <w:ilvl w:val="4"/>
        <w:numId w:val="12"/>
      </w:numPr>
      <w:spacing w:before="240" w:line="240" w:lineRule="exact"/>
      <w:ind w:right="720"/>
      <w:outlineLvl w:val="4"/>
    </w:pPr>
  </w:style>
  <w:style w:type="paragraph" w:styleId="Heading6">
    <w:name w:val="heading 6"/>
    <w:basedOn w:val="Normal"/>
    <w:next w:val="BodyText"/>
    <w:link w:val="Heading6Char"/>
    <w:qFormat/>
    <w:rsid w:val="00574A7C"/>
    <w:pPr>
      <w:keepNext/>
      <w:keepLines/>
      <w:numPr>
        <w:ilvl w:val="5"/>
        <w:numId w:val="12"/>
      </w:numPr>
      <w:spacing w:before="240" w:line="240" w:lineRule="exact"/>
      <w:ind w:right="720"/>
      <w:outlineLvl w:val="5"/>
    </w:pPr>
  </w:style>
  <w:style w:type="paragraph" w:styleId="Heading7">
    <w:name w:val="heading 7"/>
    <w:basedOn w:val="Normal"/>
    <w:next w:val="BodyText"/>
    <w:link w:val="Heading7Char"/>
    <w:qFormat/>
    <w:rsid w:val="00574A7C"/>
    <w:pPr>
      <w:keepNext/>
      <w:keepLines/>
      <w:numPr>
        <w:ilvl w:val="6"/>
        <w:numId w:val="12"/>
      </w:numPr>
      <w:spacing w:before="240" w:line="240" w:lineRule="exact"/>
      <w:ind w:right="720"/>
      <w:outlineLvl w:val="6"/>
    </w:pPr>
  </w:style>
  <w:style w:type="paragraph" w:styleId="Heading8">
    <w:name w:val="heading 8"/>
    <w:basedOn w:val="Normal"/>
    <w:next w:val="BodyText"/>
    <w:link w:val="Heading8Char"/>
    <w:qFormat/>
    <w:rsid w:val="00574A7C"/>
    <w:pPr>
      <w:keepNext/>
      <w:keepLines/>
      <w:numPr>
        <w:ilvl w:val="7"/>
        <w:numId w:val="12"/>
      </w:numPr>
      <w:spacing w:before="240" w:line="240" w:lineRule="exact"/>
      <w:ind w:right="720"/>
      <w:outlineLvl w:val="7"/>
    </w:pPr>
  </w:style>
  <w:style w:type="paragraph" w:styleId="Heading9">
    <w:name w:val="heading 9"/>
    <w:basedOn w:val="Normal"/>
    <w:next w:val="BodyText"/>
    <w:link w:val="Heading9Char"/>
    <w:qFormat/>
    <w:rsid w:val="00574A7C"/>
    <w:pPr>
      <w:keepNext/>
      <w:keepLines/>
      <w:numPr>
        <w:ilvl w:val="8"/>
        <w:numId w:val="12"/>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6416FB"/>
    <w:pPr>
      <w:numPr>
        <w:numId w:val="1"/>
      </w:numPr>
      <w:spacing w:after="180" w:line="260" w:lineRule="atLeast"/>
    </w:pPr>
  </w:style>
  <w:style w:type="paragraph" w:customStyle="1" w:styleId="Bullet2">
    <w:name w:val="Bullet 2"/>
    <w:basedOn w:val="Normal"/>
    <w:uiPriority w:val="8"/>
    <w:qFormat/>
    <w:rsid w:val="006416FB"/>
    <w:pPr>
      <w:numPr>
        <w:numId w:val="2"/>
      </w:numPr>
      <w:spacing w:line="260" w:lineRule="atLeast"/>
    </w:pPr>
  </w:style>
  <w:style w:type="numbering" w:customStyle="1" w:styleId="BMDefinitions">
    <w:name w:val="B&amp;M Definitions"/>
    <w:uiPriority w:val="99"/>
    <w:rsid w:val="006416FB"/>
    <w:pPr>
      <w:numPr>
        <w:numId w:val="3"/>
      </w:numPr>
    </w:pPr>
  </w:style>
  <w:style w:type="numbering" w:customStyle="1" w:styleId="BMHeadings">
    <w:name w:val="B&amp;M Headings"/>
    <w:uiPriority w:val="99"/>
    <w:rsid w:val="006416FB"/>
    <w:pPr>
      <w:numPr>
        <w:numId w:val="4"/>
      </w:numPr>
    </w:pPr>
  </w:style>
  <w:style w:type="numbering" w:customStyle="1" w:styleId="BMListNumbers">
    <w:name w:val="B&amp;M List Numbers"/>
    <w:uiPriority w:val="99"/>
    <w:rsid w:val="006416FB"/>
    <w:pPr>
      <w:numPr>
        <w:numId w:val="5"/>
      </w:numPr>
    </w:pPr>
  </w:style>
  <w:style w:type="numbering" w:customStyle="1" w:styleId="BMSchedules">
    <w:name w:val="B&amp;M Schedules"/>
    <w:uiPriority w:val="99"/>
    <w:rsid w:val="006416FB"/>
    <w:pPr>
      <w:numPr>
        <w:numId w:val="6"/>
      </w:numPr>
    </w:pPr>
  </w:style>
  <w:style w:type="paragraph" w:customStyle="1" w:styleId="BMKAddressInfo">
    <w:name w:val="BMK Address Info"/>
    <w:link w:val="BMKAddressInfoChar"/>
    <w:semiHidden/>
    <w:rsid w:val="006416FB"/>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6416FB"/>
    <w:rPr>
      <w:rFonts w:ascii="Arial" w:eastAsia="PMingLiU" w:hAnsi="Arial"/>
      <w:bCs/>
      <w:noProof/>
      <w:sz w:val="16"/>
      <w:lang w:val="en-AU" w:eastAsia="zh-CN"/>
    </w:rPr>
  </w:style>
  <w:style w:type="paragraph" w:customStyle="1" w:styleId="BMKAddress1">
    <w:name w:val="BMK Address1"/>
    <w:basedOn w:val="Normal"/>
    <w:semiHidden/>
    <w:rsid w:val="006416FB"/>
    <w:pPr>
      <w:spacing w:line="260" w:lineRule="atLeast"/>
    </w:pPr>
  </w:style>
  <w:style w:type="paragraph" w:customStyle="1" w:styleId="BMKAttention">
    <w:name w:val="BMK Attention"/>
    <w:basedOn w:val="Normal"/>
    <w:semiHidden/>
    <w:rsid w:val="006416FB"/>
    <w:pPr>
      <w:spacing w:line="260" w:lineRule="atLeast"/>
    </w:pPr>
  </w:style>
  <w:style w:type="paragraph" w:customStyle="1" w:styleId="BMKCities">
    <w:name w:val="BMK Cities"/>
    <w:semiHidden/>
    <w:rsid w:val="006416FB"/>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6416FB"/>
  </w:style>
  <w:style w:type="paragraph" w:customStyle="1" w:styleId="BMKDeliveryPhrase">
    <w:name w:val="BMK Delivery Phrase"/>
    <w:basedOn w:val="BMKAddressInfo"/>
    <w:semiHidden/>
    <w:rsid w:val="006416FB"/>
    <w:pPr>
      <w:framePr w:w="2943" w:h="1734" w:hRule="exact" w:wrap="around" w:vAnchor="text" w:hAnchor="page" w:x="8533" w:y="208"/>
      <w:ind w:left="57"/>
    </w:pPr>
    <w:rPr>
      <w:b/>
    </w:rPr>
  </w:style>
  <w:style w:type="paragraph" w:customStyle="1" w:styleId="BMKDocumentName">
    <w:name w:val="BMK Document Name"/>
    <w:basedOn w:val="Normal"/>
    <w:next w:val="Normal"/>
    <w:semiHidden/>
    <w:rsid w:val="006416FB"/>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al"/>
    <w:next w:val="BMKMemberFirmName"/>
    <w:semiHidden/>
    <w:rsid w:val="006416FB"/>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al"/>
    <w:semiHidden/>
    <w:rsid w:val="006416FB"/>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6416FB"/>
    <w:pPr>
      <w:spacing w:before="0"/>
    </w:pPr>
  </w:style>
  <w:style w:type="paragraph" w:customStyle="1" w:styleId="BMKMemberFirmName">
    <w:name w:val="BMK Member Firm Name"/>
    <w:basedOn w:val="BMKAddressInfo"/>
    <w:next w:val="BMKAddressInfo"/>
    <w:link w:val="BMKMemberFirmNameChar"/>
    <w:semiHidden/>
    <w:rsid w:val="006416FB"/>
    <w:rPr>
      <w:b/>
    </w:rPr>
  </w:style>
  <w:style w:type="character" w:customStyle="1" w:styleId="BMKMemberFirmNameChar">
    <w:name w:val="BMK Member Firm Name Char"/>
    <w:link w:val="BMKMemberFirmName"/>
    <w:semiHidden/>
    <w:rsid w:val="006416FB"/>
    <w:rPr>
      <w:rFonts w:ascii="Arial" w:eastAsia="PMingLiU" w:hAnsi="Arial"/>
      <w:b/>
      <w:bCs/>
      <w:noProof/>
      <w:sz w:val="16"/>
      <w:lang w:val="en-AU" w:eastAsia="zh-CN"/>
    </w:rPr>
  </w:style>
  <w:style w:type="paragraph" w:customStyle="1" w:styleId="BMKMultiOffice">
    <w:name w:val="BMK Multi Office"/>
    <w:basedOn w:val="BMKRegions"/>
    <w:next w:val="Normal"/>
    <w:semiHidden/>
    <w:rsid w:val="006416FB"/>
  </w:style>
  <w:style w:type="paragraph" w:customStyle="1" w:styleId="BMKMultiOfficeAddress">
    <w:name w:val="BMK Multi Office Address"/>
    <w:basedOn w:val="BMKCities"/>
    <w:semiHidden/>
    <w:rsid w:val="006416FB"/>
  </w:style>
  <w:style w:type="paragraph" w:customStyle="1" w:styleId="BMKPartnerList">
    <w:name w:val="BMK Partner List"/>
    <w:basedOn w:val="BMKCities"/>
    <w:semiHidden/>
    <w:rsid w:val="006416FB"/>
    <w:pPr>
      <w:adjustRightInd w:val="0"/>
      <w:snapToGrid w:val="0"/>
      <w:spacing w:after="20"/>
    </w:pPr>
    <w:rPr>
      <w:rFonts w:cs="Arial"/>
      <w:caps/>
      <w:spacing w:val="0"/>
      <w:sz w:val="9"/>
      <w:szCs w:val="12"/>
    </w:rPr>
  </w:style>
  <w:style w:type="paragraph" w:customStyle="1" w:styleId="BMKPrivacyText">
    <w:name w:val="BMK Privacy Text"/>
    <w:basedOn w:val="Footer"/>
    <w:link w:val="BMKPrivacyTextChar"/>
    <w:semiHidden/>
    <w:rsid w:val="006416FB"/>
  </w:style>
  <w:style w:type="character" w:customStyle="1" w:styleId="BMKPrivacyTextChar">
    <w:name w:val="BMK Privacy Text Char"/>
    <w:link w:val="BMKPrivacyText"/>
    <w:semiHidden/>
    <w:rsid w:val="006416FB"/>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574A7C"/>
    <w:pPr>
      <w:tabs>
        <w:tab w:val="center" w:pos="4680"/>
        <w:tab w:val="right" w:pos="9360"/>
      </w:tabs>
      <w:spacing w:line="240" w:lineRule="atLeast"/>
    </w:pPr>
    <w:rPr>
      <w:sz w:val="20"/>
    </w:rPr>
  </w:style>
  <w:style w:type="character" w:customStyle="1" w:styleId="FooterChar">
    <w:name w:val="Footer Char"/>
    <w:link w:val="Footer"/>
    <w:uiPriority w:val="99"/>
    <w:rsid w:val="006416FB"/>
    <w:rPr>
      <w:rFonts w:ascii="Times New Roman" w:hAnsi="Times New Roman" w:cs="Times New Roman"/>
      <w:sz w:val="20"/>
      <w:szCs w:val="20"/>
    </w:rPr>
  </w:style>
  <w:style w:type="paragraph" w:customStyle="1" w:styleId="BMKPrivacyTitle">
    <w:name w:val="BMK Privacy Title"/>
    <w:basedOn w:val="Normal"/>
    <w:semiHidden/>
    <w:rsid w:val="006416FB"/>
    <w:pPr>
      <w:spacing w:before="260" w:after="140" w:line="240" w:lineRule="atLeast"/>
    </w:pPr>
    <w:rPr>
      <w:rFonts w:ascii="Arial Black" w:hAnsi="Arial Black"/>
      <w:sz w:val="18"/>
    </w:rPr>
  </w:style>
  <w:style w:type="paragraph" w:customStyle="1" w:styleId="BMKQualifier">
    <w:name w:val="BMK Qualifier"/>
    <w:semiHidden/>
    <w:rsid w:val="006416FB"/>
    <w:pPr>
      <w:spacing w:line="170" w:lineRule="atLeast"/>
    </w:pPr>
    <w:rPr>
      <w:rFonts w:eastAsia="PMingLiU"/>
      <w:caps/>
      <w:noProof/>
      <w:sz w:val="13"/>
      <w:szCs w:val="13"/>
      <w:lang w:val="en-AU" w:eastAsia="zh-CN"/>
    </w:rPr>
  </w:style>
  <w:style w:type="paragraph" w:customStyle="1" w:styleId="BMKRecipient1">
    <w:name w:val="BMK Recipient1"/>
    <w:basedOn w:val="Normal"/>
    <w:semiHidden/>
    <w:rsid w:val="006416FB"/>
    <w:pPr>
      <w:spacing w:line="260" w:lineRule="atLeast"/>
    </w:pPr>
  </w:style>
  <w:style w:type="paragraph" w:customStyle="1" w:styleId="BMKRefInfo">
    <w:name w:val="BMK Ref Info"/>
    <w:basedOn w:val="BMKAddressInfo"/>
    <w:semiHidden/>
    <w:rsid w:val="006416FB"/>
    <w:pPr>
      <w:framePr w:w="2943" w:h="1734" w:hRule="exact" w:wrap="around" w:vAnchor="text" w:hAnchor="page" w:x="8533" w:y="208"/>
      <w:ind w:left="57"/>
    </w:pPr>
  </w:style>
  <w:style w:type="paragraph" w:customStyle="1" w:styleId="BMKRegions">
    <w:name w:val="BMK Regions"/>
    <w:basedOn w:val="BMKCities"/>
    <w:next w:val="BMKCities"/>
    <w:semiHidden/>
    <w:rsid w:val="006416FB"/>
    <w:rPr>
      <w:rFonts w:ascii="Arial Black" w:hAnsi="Arial Black"/>
      <w:szCs w:val="24"/>
    </w:rPr>
  </w:style>
  <w:style w:type="paragraph" w:customStyle="1" w:styleId="BMKSalutation">
    <w:name w:val="BMK Salutation"/>
    <w:basedOn w:val="Normal"/>
    <w:semiHidden/>
    <w:rsid w:val="006416FB"/>
    <w:pPr>
      <w:spacing w:line="260" w:lineRule="atLeast"/>
    </w:pPr>
  </w:style>
  <w:style w:type="paragraph" w:customStyle="1" w:styleId="BMKSubject">
    <w:name w:val="BMK Subject"/>
    <w:basedOn w:val="Normal"/>
    <w:semiHidden/>
    <w:rsid w:val="006416FB"/>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6416FB"/>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rsid w:val="00574A7C"/>
    <w:pPr>
      <w:spacing w:after="240"/>
      <w:ind w:firstLine="720"/>
      <w:jc w:val="both"/>
    </w:pPr>
  </w:style>
  <w:style w:type="character" w:customStyle="1" w:styleId="BodyTextChar">
    <w:name w:val="Body Text Char"/>
    <w:basedOn w:val="DefaultParagraphFont"/>
    <w:link w:val="BodyText"/>
    <w:rsid w:val="0070408F"/>
    <w:rPr>
      <w:rFonts w:ascii="Times New Roman" w:hAnsi="Times New Roman" w:cs="Times New Roman"/>
      <w:sz w:val="24"/>
      <w:szCs w:val="20"/>
    </w:rPr>
  </w:style>
  <w:style w:type="paragraph" w:customStyle="1" w:styleId="BMKTitle">
    <w:name w:val="BMK Title"/>
    <w:basedOn w:val="Normal"/>
    <w:next w:val="BodyText"/>
    <w:semiHidden/>
    <w:rsid w:val="006416FB"/>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6416FB"/>
    <w:pPr>
      <w:spacing w:line="260" w:lineRule="atLeast"/>
    </w:pPr>
  </w:style>
  <w:style w:type="paragraph" w:customStyle="1" w:styleId="BMKHeaderLogoSHI">
    <w:name w:val="BMKHeaderLogoSHI"/>
    <w:semiHidden/>
    <w:rsid w:val="006416FB"/>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6416FB"/>
    <w:rPr>
      <w:b/>
      <w:bCs/>
      <w:i w:val="0"/>
      <w:szCs w:val="28"/>
    </w:rPr>
  </w:style>
  <w:style w:type="paragraph" w:customStyle="1" w:styleId="DefinitionParagraph">
    <w:name w:val="Definition Paragraph"/>
    <w:basedOn w:val="Normal"/>
    <w:uiPriority w:val="2"/>
    <w:rsid w:val="006416FB"/>
    <w:pPr>
      <w:numPr>
        <w:numId w:val="7"/>
      </w:numPr>
      <w:spacing w:after="180" w:line="260" w:lineRule="atLeast"/>
    </w:pPr>
  </w:style>
  <w:style w:type="character" w:customStyle="1" w:styleId="DMReference">
    <w:name w:val="DMReference"/>
    <w:basedOn w:val="FooterChar"/>
    <w:semiHidden/>
    <w:rsid w:val="006416FB"/>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6416FB"/>
    <w:pPr>
      <w:spacing w:line="260" w:lineRule="atLeast"/>
    </w:pPr>
  </w:style>
  <w:style w:type="paragraph" w:customStyle="1" w:styleId="OtherContact">
    <w:name w:val="OtherContact"/>
    <w:basedOn w:val="Normal"/>
    <w:semiHidden/>
    <w:rsid w:val="006416FB"/>
    <w:rPr>
      <w:rFonts w:asciiTheme="majorHAnsi" w:eastAsiaTheme="majorEastAsia" w:hAnsiTheme="majorHAnsi" w:cstheme="majorHAnsi"/>
      <w:sz w:val="16"/>
    </w:rPr>
  </w:style>
  <w:style w:type="paragraph" w:customStyle="1" w:styleId="Recital">
    <w:name w:val="Recital"/>
    <w:basedOn w:val="Normal"/>
    <w:uiPriority w:val="7"/>
    <w:rsid w:val="006416FB"/>
    <w:pPr>
      <w:numPr>
        <w:numId w:val="8"/>
      </w:numPr>
      <w:spacing w:after="180" w:line="260" w:lineRule="atLeast"/>
    </w:pPr>
  </w:style>
  <w:style w:type="paragraph" w:customStyle="1" w:styleId="SchH1">
    <w:name w:val="SchH1"/>
    <w:basedOn w:val="Normal"/>
    <w:next w:val="BodyText"/>
    <w:uiPriority w:val="6"/>
    <w:rsid w:val="006416FB"/>
    <w:pPr>
      <w:keepNext/>
      <w:numPr>
        <w:numId w:val="9"/>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6416FB"/>
    <w:pPr>
      <w:keepNext/>
      <w:numPr>
        <w:ilvl w:val="1"/>
        <w:numId w:val="9"/>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6416FB"/>
    <w:pPr>
      <w:numPr>
        <w:ilvl w:val="2"/>
        <w:numId w:val="9"/>
      </w:numPr>
      <w:spacing w:after="180" w:line="260" w:lineRule="atLeast"/>
    </w:pPr>
  </w:style>
  <w:style w:type="paragraph" w:customStyle="1" w:styleId="SchH4">
    <w:name w:val="SchH4"/>
    <w:basedOn w:val="Normal"/>
    <w:uiPriority w:val="6"/>
    <w:rsid w:val="006416FB"/>
    <w:pPr>
      <w:numPr>
        <w:ilvl w:val="3"/>
        <w:numId w:val="9"/>
      </w:numPr>
      <w:spacing w:after="180" w:line="260" w:lineRule="atLeast"/>
    </w:pPr>
  </w:style>
  <w:style w:type="paragraph" w:customStyle="1" w:styleId="SchH5">
    <w:name w:val="SchH5"/>
    <w:basedOn w:val="Normal"/>
    <w:uiPriority w:val="6"/>
    <w:rsid w:val="006416FB"/>
    <w:pPr>
      <w:numPr>
        <w:ilvl w:val="4"/>
        <w:numId w:val="9"/>
      </w:numPr>
      <w:spacing w:after="180" w:line="260" w:lineRule="atLeast"/>
    </w:pPr>
  </w:style>
  <w:style w:type="paragraph" w:customStyle="1" w:styleId="SchH6">
    <w:name w:val="SchH6"/>
    <w:basedOn w:val="Normal"/>
    <w:uiPriority w:val="6"/>
    <w:rsid w:val="006416FB"/>
    <w:pPr>
      <w:numPr>
        <w:ilvl w:val="5"/>
        <w:numId w:val="9"/>
      </w:numPr>
      <w:spacing w:after="180" w:line="260" w:lineRule="atLeast"/>
    </w:pPr>
  </w:style>
  <w:style w:type="paragraph" w:customStyle="1" w:styleId="SchSH">
    <w:name w:val="SchSH"/>
    <w:basedOn w:val="Normal"/>
    <w:next w:val="BodyText"/>
    <w:uiPriority w:val="6"/>
    <w:rsid w:val="006416FB"/>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6416FB"/>
    <w:pPr>
      <w:pBdr>
        <w:bottom w:val="single" w:sz="4" w:space="9" w:color="auto"/>
      </w:pBdr>
      <w:spacing w:after="180" w:line="260" w:lineRule="exact"/>
    </w:pPr>
    <w:rPr>
      <w:rFonts w:asciiTheme="majorHAnsi" w:eastAsiaTheme="majorEastAsia" w:hAnsiTheme="majorHAnsi" w:cstheme="majorHAnsi"/>
      <w:b/>
      <w:bCs/>
    </w:rPr>
  </w:style>
  <w:style w:type="character" w:customStyle="1" w:styleId="Heading1Char">
    <w:name w:val="Heading 1 Char"/>
    <w:basedOn w:val="DefaultParagraphFont"/>
    <w:link w:val="Heading1"/>
    <w:rsid w:val="00A83852"/>
    <w:rPr>
      <w:rFonts w:ascii="Times New Roman" w:hAnsi="Times New Roman" w:cs="Times New Roman"/>
      <w:b/>
      <w:caps/>
      <w:sz w:val="24"/>
      <w:szCs w:val="20"/>
      <w:u w:val="single"/>
    </w:rPr>
  </w:style>
  <w:style w:type="character" w:customStyle="1" w:styleId="Heading2Char">
    <w:name w:val="Heading 2 Char"/>
    <w:basedOn w:val="DefaultParagraphFont"/>
    <w:link w:val="Heading2"/>
    <w:rsid w:val="0070408F"/>
    <w:rPr>
      <w:rFonts w:ascii="Times New Roman" w:hAnsi="Times New Roman" w:cs="Times New Roman"/>
      <w:b/>
      <w:sz w:val="24"/>
      <w:szCs w:val="20"/>
    </w:rPr>
  </w:style>
  <w:style w:type="character" w:customStyle="1" w:styleId="Heading3Char">
    <w:name w:val="Heading 3 Char"/>
    <w:basedOn w:val="DefaultParagraphFont"/>
    <w:link w:val="Heading3"/>
    <w:rsid w:val="009864C3"/>
    <w:rPr>
      <w:rFonts w:ascii="Times New Roman" w:hAnsi="Times New Roman" w:cs="Times New Roman"/>
      <w:sz w:val="24"/>
      <w:szCs w:val="20"/>
    </w:rPr>
  </w:style>
  <w:style w:type="character" w:customStyle="1" w:styleId="Heading4Char">
    <w:name w:val="Heading 4 Char"/>
    <w:basedOn w:val="DefaultParagraphFont"/>
    <w:link w:val="Heading4"/>
    <w:rsid w:val="0070408F"/>
    <w:rPr>
      <w:rFonts w:ascii="Times New Roman" w:hAnsi="Times New Roman" w:cs="Times New Roman"/>
      <w:sz w:val="24"/>
      <w:szCs w:val="20"/>
    </w:rPr>
  </w:style>
  <w:style w:type="character" w:customStyle="1" w:styleId="Heading5Char">
    <w:name w:val="Heading 5 Char"/>
    <w:basedOn w:val="DefaultParagraphFont"/>
    <w:link w:val="Heading5"/>
    <w:rsid w:val="0070408F"/>
    <w:rPr>
      <w:rFonts w:ascii="Times New Roman" w:hAnsi="Times New Roman" w:cs="Times New Roman"/>
      <w:sz w:val="24"/>
      <w:szCs w:val="20"/>
    </w:rPr>
  </w:style>
  <w:style w:type="character" w:customStyle="1" w:styleId="Heading6Char">
    <w:name w:val="Heading 6 Char"/>
    <w:basedOn w:val="DefaultParagraphFont"/>
    <w:link w:val="Heading6"/>
    <w:rsid w:val="0070408F"/>
    <w:rPr>
      <w:rFonts w:ascii="Times New Roman" w:hAnsi="Times New Roman" w:cs="Times New Roman"/>
      <w:sz w:val="24"/>
      <w:szCs w:val="20"/>
    </w:rPr>
  </w:style>
  <w:style w:type="character" w:customStyle="1" w:styleId="Heading7Char">
    <w:name w:val="Heading 7 Char"/>
    <w:basedOn w:val="DefaultParagraphFont"/>
    <w:link w:val="Heading7"/>
    <w:rsid w:val="006416FB"/>
    <w:rPr>
      <w:rFonts w:ascii="Times New Roman" w:hAnsi="Times New Roman" w:cs="Times New Roman"/>
      <w:sz w:val="24"/>
      <w:szCs w:val="20"/>
    </w:rPr>
  </w:style>
  <w:style w:type="character" w:styleId="Hyperlink">
    <w:name w:val="Hyperlink"/>
    <w:uiPriority w:val="6"/>
    <w:semiHidden/>
    <w:rsid w:val="006416FB"/>
    <w:rPr>
      <w:color w:val="0000FF"/>
      <w:u w:val="single"/>
    </w:rPr>
  </w:style>
  <w:style w:type="paragraph" w:styleId="ListNumber">
    <w:name w:val="List Number"/>
    <w:basedOn w:val="Normal"/>
    <w:uiPriority w:val="7"/>
    <w:qFormat/>
    <w:rsid w:val="006416FB"/>
    <w:pPr>
      <w:numPr>
        <w:numId w:val="11"/>
      </w:numPr>
      <w:spacing w:after="180" w:line="260" w:lineRule="atLeast"/>
    </w:pPr>
  </w:style>
  <w:style w:type="paragraph" w:styleId="ListNumber2">
    <w:name w:val="List Number 2"/>
    <w:basedOn w:val="Normal"/>
    <w:uiPriority w:val="7"/>
    <w:qFormat/>
    <w:rsid w:val="006416FB"/>
    <w:pPr>
      <w:numPr>
        <w:ilvl w:val="1"/>
        <w:numId w:val="11"/>
      </w:numPr>
      <w:spacing w:after="180" w:line="260" w:lineRule="atLeast"/>
    </w:pPr>
  </w:style>
  <w:style w:type="paragraph" w:styleId="ListNumber3">
    <w:name w:val="List Number 3"/>
    <w:basedOn w:val="Normal"/>
    <w:uiPriority w:val="7"/>
    <w:qFormat/>
    <w:rsid w:val="006416FB"/>
    <w:pPr>
      <w:numPr>
        <w:ilvl w:val="2"/>
        <w:numId w:val="11"/>
      </w:numPr>
      <w:spacing w:after="180" w:line="260" w:lineRule="atLeast"/>
    </w:pPr>
  </w:style>
  <w:style w:type="paragraph" w:styleId="ListNumber4">
    <w:name w:val="List Number 4"/>
    <w:basedOn w:val="Normal"/>
    <w:uiPriority w:val="7"/>
    <w:qFormat/>
    <w:rsid w:val="006416FB"/>
    <w:pPr>
      <w:numPr>
        <w:ilvl w:val="3"/>
        <w:numId w:val="11"/>
      </w:numPr>
      <w:spacing w:after="180" w:line="260" w:lineRule="atLeast"/>
    </w:pPr>
  </w:style>
  <w:style w:type="character" w:styleId="PageNumber">
    <w:name w:val="page number"/>
    <w:basedOn w:val="DefaultParagraphFont"/>
    <w:rsid w:val="00574A7C"/>
    <w:rPr>
      <w:sz w:val="24"/>
    </w:rPr>
  </w:style>
  <w:style w:type="character" w:styleId="FollowedHyperlink">
    <w:name w:val="FollowedHyperlink"/>
    <w:basedOn w:val="DefaultParagraphFont"/>
    <w:unhideWhenUsed/>
    <w:rsid w:val="006416FB"/>
    <w:rPr>
      <w:color w:val="800080"/>
      <w:u w:val="single"/>
    </w:rPr>
  </w:style>
  <w:style w:type="character" w:customStyle="1" w:styleId="Heading8Char">
    <w:name w:val="Heading 8 Char"/>
    <w:basedOn w:val="DefaultParagraphFont"/>
    <w:link w:val="Heading8"/>
    <w:rsid w:val="002F38C4"/>
    <w:rPr>
      <w:rFonts w:ascii="Times New Roman" w:hAnsi="Times New Roman" w:cs="Times New Roman"/>
      <w:sz w:val="24"/>
      <w:szCs w:val="20"/>
    </w:rPr>
  </w:style>
  <w:style w:type="character" w:customStyle="1" w:styleId="Heading9Char">
    <w:name w:val="Heading 9 Char"/>
    <w:basedOn w:val="DefaultParagraphFont"/>
    <w:link w:val="Heading9"/>
    <w:rsid w:val="002F38C4"/>
    <w:rPr>
      <w:rFonts w:ascii="Times New Roman" w:hAnsi="Times New Roman" w:cs="Times New Roman"/>
      <w:sz w:val="24"/>
      <w:szCs w:val="20"/>
    </w:rPr>
  </w:style>
  <w:style w:type="paragraph" w:customStyle="1" w:styleId="BodyTextContinued">
    <w:name w:val="Body Text Continued"/>
    <w:basedOn w:val="BodyText"/>
    <w:next w:val="BodyText"/>
    <w:rsid w:val="00574A7C"/>
    <w:pPr>
      <w:ind w:firstLine="0"/>
    </w:pPr>
  </w:style>
  <w:style w:type="paragraph" w:styleId="Quote">
    <w:name w:val="Quote"/>
    <w:basedOn w:val="Normal"/>
    <w:next w:val="BodyTextContinued"/>
    <w:link w:val="QuoteChar"/>
    <w:qFormat/>
    <w:rsid w:val="00574A7C"/>
    <w:pPr>
      <w:spacing w:after="240"/>
      <w:ind w:left="1440" w:right="1440"/>
    </w:pPr>
  </w:style>
  <w:style w:type="character" w:customStyle="1" w:styleId="QuoteChar">
    <w:name w:val="Quote Char"/>
    <w:basedOn w:val="DefaultParagraphFont"/>
    <w:link w:val="Quote"/>
    <w:rsid w:val="002F38C4"/>
    <w:rPr>
      <w:rFonts w:ascii="Times New Roman" w:hAnsi="Times New Roman" w:cs="Times New Roman"/>
      <w:sz w:val="24"/>
      <w:szCs w:val="20"/>
    </w:rPr>
  </w:style>
  <w:style w:type="paragraph" w:styleId="Header">
    <w:name w:val="header"/>
    <w:basedOn w:val="Normal"/>
    <w:link w:val="HeaderChar"/>
    <w:rsid w:val="00574A7C"/>
    <w:pPr>
      <w:tabs>
        <w:tab w:val="center" w:pos="4320"/>
        <w:tab w:val="right" w:pos="9360"/>
      </w:tabs>
    </w:pPr>
  </w:style>
  <w:style w:type="character" w:customStyle="1" w:styleId="HeaderChar">
    <w:name w:val="Header Char"/>
    <w:basedOn w:val="DefaultParagraphFont"/>
    <w:link w:val="Header"/>
    <w:rsid w:val="002F38C4"/>
    <w:rPr>
      <w:rFonts w:ascii="Times New Roman" w:hAnsi="Times New Roman" w:cs="Times New Roman"/>
      <w:sz w:val="24"/>
      <w:szCs w:val="20"/>
    </w:rPr>
  </w:style>
  <w:style w:type="paragraph" w:styleId="BodyTextIndent">
    <w:name w:val="Body Text Indent"/>
    <w:basedOn w:val="BodyText"/>
    <w:next w:val="BodyText"/>
    <w:link w:val="BodyTextIndentChar"/>
    <w:rsid w:val="00574A7C"/>
    <w:pPr>
      <w:ind w:left="720" w:firstLine="0"/>
    </w:pPr>
  </w:style>
  <w:style w:type="character" w:customStyle="1" w:styleId="BodyTextIndentChar">
    <w:name w:val="Body Text Indent Char"/>
    <w:basedOn w:val="DefaultParagraphFont"/>
    <w:link w:val="BodyTextIndent"/>
    <w:rsid w:val="002F38C4"/>
    <w:rPr>
      <w:rFonts w:ascii="Times New Roman" w:hAnsi="Times New Roman" w:cs="Times New Roman"/>
      <w:sz w:val="24"/>
      <w:szCs w:val="20"/>
    </w:rPr>
  </w:style>
  <w:style w:type="paragraph" w:styleId="FootnoteText">
    <w:name w:val="footnote text"/>
    <w:basedOn w:val="Normal"/>
    <w:link w:val="FootnoteTextChar"/>
    <w:semiHidden/>
    <w:rsid w:val="00574A7C"/>
  </w:style>
  <w:style w:type="character" w:customStyle="1" w:styleId="FootnoteTextChar">
    <w:name w:val="Footnote Text Char"/>
    <w:basedOn w:val="DefaultParagraphFont"/>
    <w:link w:val="FootnoteText"/>
    <w:semiHidden/>
    <w:rsid w:val="002F38C4"/>
    <w:rPr>
      <w:rFonts w:ascii="Times New Roman" w:hAnsi="Times New Roman" w:cs="Times New Roman"/>
      <w:sz w:val="24"/>
      <w:szCs w:val="20"/>
    </w:rPr>
  </w:style>
  <w:style w:type="paragraph" w:customStyle="1" w:styleId="BodyTextWP">
    <w:name w:val="Body Text WP"/>
    <w:basedOn w:val="Normal"/>
    <w:rsid w:val="00574A7C"/>
    <w:pPr>
      <w:spacing w:after="240"/>
      <w:ind w:firstLine="720"/>
      <w:jc w:val="both"/>
    </w:pPr>
  </w:style>
  <w:style w:type="paragraph" w:customStyle="1" w:styleId="Centered">
    <w:name w:val="Centered"/>
    <w:basedOn w:val="Normal"/>
    <w:next w:val="BodyText"/>
    <w:rsid w:val="00574A7C"/>
    <w:pPr>
      <w:spacing w:after="240" w:line="240" w:lineRule="exact"/>
      <w:jc w:val="center"/>
    </w:pPr>
  </w:style>
  <w:style w:type="paragraph" w:customStyle="1" w:styleId="DeliveryPhrase">
    <w:name w:val="Delivery Phrase"/>
    <w:basedOn w:val="Normal"/>
    <w:next w:val="Normal"/>
    <w:rsid w:val="00574A7C"/>
    <w:pPr>
      <w:spacing w:before="240"/>
    </w:pPr>
    <w:rPr>
      <w:b/>
      <w:caps/>
    </w:rPr>
  </w:style>
  <w:style w:type="paragraph" w:styleId="EnvelopeAddress">
    <w:name w:val="envelope address"/>
    <w:basedOn w:val="Normal"/>
    <w:rsid w:val="00574A7C"/>
    <w:pPr>
      <w:framePr w:w="5760" w:h="2160" w:hRule="exact" w:wrap="around" w:vAnchor="page" w:hAnchor="page" w:x="6481" w:y="3068"/>
    </w:pPr>
  </w:style>
  <w:style w:type="character" w:styleId="FootnoteReference">
    <w:name w:val="footnote reference"/>
    <w:basedOn w:val="DefaultParagraphFont"/>
    <w:semiHidden/>
    <w:rsid w:val="00574A7C"/>
    <w:rPr>
      <w:vertAlign w:val="superscript"/>
    </w:rPr>
  </w:style>
  <w:style w:type="paragraph" w:customStyle="1" w:styleId="HeaderNumbers">
    <w:name w:val="HeaderNumbers"/>
    <w:basedOn w:val="Normal"/>
    <w:rsid w:val="00574A7C"/>
    <w:pPr>
      <w:spacing w:before="720" w:line="480" w:lineRule="exact"/>
      <w:ind w:right="144"/>
      <w:jc w:val="right"/>
    </w:pPr>
  </w:style>
  <w:style w:type="paragraph" w:customStyle="1" w:styleId="Heading1Para">
    <w:name w:val="Heading1Para"/>
    <w:basedOn w:val="BodyText"/>
    <w:next w:val="BodyText"/>
    <w:rsid w:val="00574A7C"/>
    <w:pPr>
      <w:ind w:firstLine="0"/>
      <w:jc w:val="center"/>
    </w:pPr>
  </w:style>
  <w:style w:type="paragraph" w:customStyle="1" w:styleId="Heading2Para">
    <w:name w:val="Heading2Para"/>
    <w:basedOn w:val="BodyText"/>
    <w:next w:val="BodyText"/>
    <w:rsid w:val="00574A7C"/>
    <w:pPr>
      <w:ind w:firstLine="0"/>
    </w:pPr>
  </w:style>
  <w:style w:type="paragraph" w:customStyle="1" w:styleId="Heading3Para">
    <w:name w:val="Heading3Para"/>
    <w:basedOn w:val="BodyText"/>
    <w:next w:val="BodyText"/>
    <w:rsid w:val="00574A7C"/>
  </w:style>
  <w:style w:type="paragraph" w:customStyle="1" w:styleId="Heading4Para">
    <w:name w:val="Heading4Para"/>
    <w:basedOn w:val="BodyText"/>
    <w:next w:val="BodyText"/>
    <w:rsid w:val="00574A7C"/>
    <w:pPr>
      <w:ind w:firstLine="2160"/>
    </w:pPr>
  </w:style>
  <w:style w:type="paragraph" w:customStyle="1" w:styleId="Heading5Para">
    <w:name w:val="Heading5Para"/>
    <w:basedOn w:val="BodyText"/>
    <w:next w:val="BodyText"/>
    <w:rsid w:val="00574A7C"/>
    <w:pPr>
      <w:ind w:firstLine="2880"/>
    </w:pPr>
  </w:style>
  <w:style w:type="paragraph" w:customStyle="1" w:styleId="Heading6Para">
    <w:name w:val="Heading6Para"/>
    <w:basedOn w:val="BodyText"/>
    <w:next w:val="BodyText"/>
    <w:rsid w:val="00574A7C"/>
    <w:pPr>
      <w:ind w:firstLine="3600"/>
    </w:pPr>
  </w:style>
  <w:style w:type="paragraph" w:customStyle="1" w:styleId="Heading7Para">
    <w:name w:val="Heading7Para"/>
    <w:basedOn w:val="BodyText"/>
    <w:next w:val="BodyText"/>
    <w:rsid w:val="00574A7C"/>
    <w:pPr>
      <w:ind w:firstLine="4320"/>
    </w:pPr>
  </w:style>
  <w:style w:type="paragraph" w:customStyle="1" w:styleId="Heading8Para">
    <w:name w:val="Heading8Para"/>
    <w:basedOn w:val="BodyText"/>
    <w:next w:val="BodyText"/>
    <w:rsid w:val="00574A7C"/>
    <w:pPr>
      <w:ind w:firstLine="5040"/>
    </w:pPr>
  </w:style>
  <w:style w:type="paragraph" w:customStyle="1" w:styleId="Heading9Para">
    <w:name w:val="Heading9Para"/>
    <w:basedOn w:val="BodyText"/>
    <w:next w:val="BodyText"/>
    <w:rsid w:val="00574A7C"/>
    <w:pPr>
      <w:ind w:firstLine="5760"/>
    </w:pPr>
  </w:style>
  <w:style w:type="paragraph" w:customStyle="1" w:styleId="LeftHeading">
    <w:name w:val="Left Heading"/>
    <w:basedOn w:val="Normal"/>
    <w:next w:val="Normal"/>
    <w:rsid w:val="00574A7C"/>
    <w:rPr>
      <w:b/>
    </w:rPr>
  </w:style>
  <w:style w:type="paragraph" w:customStyle="1" w:styleId="LetterDate">
    <w:name w:val="Letter Date"/>
    <w:basedOn w:val="Normal"/>
    <w:next w:val="BodyText"/>
    <w:rsid w:val="00574A7C"/>
  </w:style>
  <w:style w:type="paragraph" w:customStyle="1" w:styleId="LetterClosing">
    <w:name w:val="LetterClosing"/>
    <w:basedOn w:val="Normal"/>
    <w:next w:val="Normal"/>
    <w:rsid w:val="00574A7C"/>
  </w:style>
  <w:style w:type="paragraph" w:customStyle="1" w:styleId="LHFirmName">
    <w:name w:val="LH Firm Name"/>
    <w:basedOn w:val="Normal"/>
    <w:rsid w:val="00574A7C"/>
    <w:pPr>
      <w:spacing w:after="120"/>
      <w:ind w:left="-720"/>
    </w:pPr>
    <w:rPr>
      <w:rFonts w:ascii="EngravrsRoman BT" w:hAnsi="EngravrsRoman BT"/>
      <w:b/>
      <w:spacing w:val="10"/>
      <w:sz w:val="15"/>
    </w:rPr>
  </w:style>
  <w:style w:type="paragraph" w:styleId="MacroText">
    <w:name w:val="macro"/>
    <w:link w:val="MacroTextChar"/>
    <w:semiHidden/>
    <w:rsid w:val="00574A7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2F38C4"/>
    <w:rPr>
      <w:rFonts w:ascii="Times New Roman" w:hAnsi="Times New Roman" w:cs="Times New Roman"/>
      <w:sz w:val="18"/>
      <w:szCs w:val="20"/>
    </w:rPr>
  </w:style>
  <w:style w:type="paragraph" w:styleId="NormalIndent">
    <w:name w:val="Normal Indent"/>
    <w:basedOn w:val="Normal"/>
    <w:rsid w:val="00574A7C"/>
    <w:pPr>
      <w:widowControl w:val="0"/>
      <w:spacing w:line="240" w:lineRule="exact"/>
      <w:ind w:left="720" w:right="720"/>
    </w:pPr>
  </w:style>
  <w:style w:type="character" w:customStyle="1" w:styleId="ParagraphNumber">
    <w:name w:val="ParagraphNumber"/>
    <w:basedOn w:val="DefaultParagraphFont"/>
    <w:rsid w:val="00574A7C"/>
  </w:style>
  <w:style w:type="paragraph" w:customStyle="1" w:styleId="PleadingSignature">
    <w:name w:val="Pleading Signature"/>
    <w:basedOn w:val="Normal"/>
    <w:rsid w:val="00574A7C"/>
    <w:pPr>
      <w:keepNext/>
      <w:keepLines/>
      <w:widowControl w:val="0"/>
      <w:tabs>
        <w:tab w:val="left" w:pos="5040"/>
        <w:tab w:val="right" w:pos="9360"/>
      </w:tabs>
      <w:spacing w:line="240" w:lineRule="exact"/>
      <w:ind w:left="4680"/>
    </w:pPr>
  </w:style>
  <w:style w:type="paragraph" w:customStyle="1" w:styleId="SDP">
    <w:name w:val="SDP"/>
    <w:basedOn w:val="Normal"/>
    <w:next w:val="Normal"/>
    <w:rsid w:val="00574A7C"/>
    <w:pPr>
      <w:spacing w:before="240"/>
    </w:pPr>
    <w:rPr>
      <w:b/>
      <w:caps/>
    </w:rPr>
  </w:style>
  <w:style w:type="paragraph" w:styleId="TableofAuthorities">
    <w:name w:val="table of authorities"/>
    <w:basedOn w:val="Normal"/>
    <w:next w:val="Normal"/>
    <w:semiHidden/>
    <w:rsid w:val="00574A7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574A7C"/>
    <w:pPr>
      <w:keepNext/>
      <w:widowControl w:val="0"/>
      <w:spacing w:before="120" w:after="120" w:line="240" w:lineRule="exact"/>
      <w:jc w:val="center"/>
    </w:pPr>
    <w:rPr>
      <w:b/>
      <w:caps/>
    </w:rPr>
  </w:style>
  <w:style w:type="paragraph" w:styleId="TOC1">
    <w:name w:val="toc 1"/>
    <w:basedOn w:val="Normal"/>
    <w:next w:val="TOC2"/>
    <w:autoRedefine/>
    <w:semiHidden/>
    <w:rsid w:val="00574A7C"/>
    <w:pPr>
      <w:keepLines/>
      <w:tabs>
        <w:tab w:val="right" w:leader="dot" w:pos="9288"/>
      </w:tabs>
      <w:ind w:left="720" w:right="720" w:hanging="720"/>
    </w:pPr>
  </w:style>
  <w:style w:type="paragraph" w:styleId="TOC2">
    <w:name w:val="toc 2"/>
    <w:basedOn w:val="Normal"/>
    <w:next w:val="TOC3"/>
    <w:autoRedefine/>
    <w:semiHidden/>
    <w:rsid w:val="00574A7C"/>
    <w:pPr>
      <w:keepLines/>
      <w:tabs>
        <w:tab w:val="right" w:leader="dot" w:pos="9288"/>
      </w:tabs>
      <w:ind w:left="1440" w:right="720" w:hanging="720"/>
    </w:pPr>
  </w:style>
  <w:style w:type="paragraph" w:styleId="TOC3">
    <w:name w:val="toc 3"/>
    <w:basedOn w:val="Normal"/>
    <w:next w:val="TOC4"/>
    <w:autoRedefine/>
    <w:semiHidden/>
    <w:rsid w:val="00574A7C"/>
    <w:pPr>
      <w:keepLines/>
      <w:tabs>
        <w:tab w:val="right" w:leader="dot" w:pos="9288"/>
      </w:tabs>
      <w:ind w:left="2160" w:right="720" w:hanging="720"/>
    </w:pPr>
  </w:style>
  <w:style w:type="paragraph" w:styleId="TOC4">
    <w:name w:val="toc 4"/>
    <w:basedOn w:val="Normal"/>
    <w:next w:val="TOC5"/>
    <w:autoRedefine/>
    <w:semiHidden/>
    <w:rsid w:val="00574A7C"/>
    <w:pPr>
      <w:keepLines/>
      <w:tabs>
        <w:tab w:val="right" w:leader="dot" w:pos="9288"/>
      </w:tabs>
      <w:ind w:left="2880" w:right="720" w:hanging="720"/>
    </w:pPr>
  </w:style>
  <w:style w:type="paragraph" w:styleId="TOC5">
    <w:name w:val="toc 5"/>
    <w:basedOn w:val="Normal"/>
    <w:next w:val="TOC6"/>
    <w:autoRedefine/>
    <w:semiHidden/>
    <w:rsid w:val="00574A7C"/>
    <w:pPr>
      <w:keepLines/>
      <w:tabs>
        <w:tab w:val="right" w:leader="dot" w:pos="9288"/>
      </w:tabs>
      <w:ind w:left="3600" w:right="720" w:hanging="720"/>
    </w:pPr>
  </w:style>
  <w:style w:type="paragraph" w:styleId="TOC6">
    <w:name w:val="toc 6"/>
    <w:basedOn w:val="Normal"/>
    <w:next w:val="TOC7"/>
    <w:autoRedefine/>
    <w:semiHidden/>
    <w:rsid w:val="00574A7C"/>
    <w:pPr>
      <w:keepLines/>
      <w:tabs>
        <w:tab w:val="right" w:leader="dot" w:pos="9288"/>
      </w:tabs>
      <w:ind w:left="4320" w:right="720" w:hanging="720"/>
    </w:pPr>
  </w:style>
  <w:style w:type="paragraph" w:styleId="TOC7">
    <w:name w:val="toc 7"/>
    <w:basedOn w:val="Normal"/>
    <w:next w:val="TOC8"/>
    <w:autoRedefine/>
    <w:semiHidden/>
    <w:rsid w:val="00574A7C"/>
    <w:pPr>
      <w:keepLines/>
      <w:tabs>
        <w:tab w:val="right" w:leader="dot" w:pos="9288"/>
      </w:tabs>
      <w:ind w:left="5040" w:right="720" w:hanging="720"/>
    </w:pPr>
  </w:style>
  <w:style w:type="paragraph" w:styleId="TOC8">
    <w:name w:val="toc 8"/>
    <w:basedOn w:val="Normal"/>
    <w:next w:val="TOC9"/>
    <w:autoRedefine/>
    <w:semiHidden/>
    <w:rsid w:val="00574A7C"/>
    <w:pPr>
      <w:keepLines/>
      <w:tabs>
        <w:tab w:val="right" w:leader="dot" w:pos="9288"/>
      </w:tabs>
      <w:ind w:left="5760" w:right="720" w:hanging="720"/>
    </w:pPr>
  </w:style>
  <w:style w:type="paragraph" w:styleId="TOC9">
    <w:name w:val="toc 9"/>
    <w:basedOn w:val="Normal"/>
    <w:autoRedefine/>
    <w:semiHidden/>
    <w:rsid w:val="00574A7C"/>
    <w:pPr>
      <w:keepLines/>
      <w:tabs>
        <w:tab w:val="right" w:leader="dot" w:pos="9288"/>
      </w:tabs>
      <w:ind w:left="6480" w:right="720" w:hanging="720"/>
    </w:pPr>
  </w:style>
  <w:style w:type="character" w:customStyle="1" w:styleId="fontstyle01">
    <w:name w:val="fontstyle01"/>
    <w:basedOn w:val="DefaultParagraphFont"/>
    <w:rsid w:val="00D707F7"/>
    <w:rPr>
      <w:rFonts w:ascii="Times-Italic" w:hAnsi="Times-Italic" w:hint="default"/>
      <w:b w:val="0"/>
      <w:bCs w:val="0"/>
      <w:i/>
      <w:iCs/>
      <w:color w:val="000000"/>
      <w:sz w:val="16"/>
      <w:szCs w:val="16"/>
    </w:rPr>
  </w:style>
  <w:style w:type="character" w:customStyle="1" w:styleId="fontstyle21">
    <w:name w:val="fontstyle21"/>
    <w:basedOn w:val="DefaultParagraphFont"/>
    <w:rsid w:val="00D707F7"/>
    <w:rPr>
      <w:rFonts w:ascii="Times-Roman" w:hAnsi="Times-Roman" w:hint="default"/>
      <w:b w:val="0"/>
      <w:bCs w:val="0"/>
      <w:i w:val="0"/>
      <w:iCs w:val="0"/>
      <w:color w:val="000000"/>
      <w:sz w:val="16"/>
      <w:szCs w:val="16"/>
    </w:rPr>
  </w:style>
  <w:style w:type="character" w:customStyle="1" w:styleId="fontstyle31">
    <w:name w:val="fontstyle31"/>
    <w:basedOn w:val="DefaultParagraphFont"/>
    <w:rsid w:val="00D707F7"/>
    <w:rPr>
      <w:rFonts w:ascii="Times-Bold" w:hAnsi="Times-Bold" w:hint="default"/>
      <w:b/>
      <w:bCs/>
      <w:i w:val="0"/>
      <w:iCs w:val="0"/>
      <w:color w:val="000000"/>
      <w:sz w:val="16"/>
      <w:szCs w:val="16"/>
    </w:rPr>
  </w:style>
  <w:style w:type="paragraph" w:styleId="ListParagraph">
    <w:name w:val="List Paragraph"/>
    <w:basedOn w:val="Normal"/>
    <w:uiPriority w:val="34"/>
    <w:qFormat/>
    <w:rsid w:val="00B75835"/>
    <w:pPr>
      <w:ind w:left="720"/>
      <w:contextualSpacing/>
    </w:pPr>
  </w:style>
  <w:style w:type="character" w:styleId="CommentReference">
    <w:name w:val="annotation reference"/>
    <w:basedOn w:val="DefaultParagraphFont"/>
    <w:uiPriority w:val="99"/>
    <w:semiHidden/>
    <w:unhideWhenUsed/>
    <w:rsid w:val="0055059E"/>
    <w:rPr>
      <w:sz w:val="16"/>
      <w:szCs w:val="16"/>
    </w:rPr>
  </w:style>
  <w:style w:type="paragraph" w:styleId="CommentText">
    <w:name w:val="annotation text"/>
    <w:basedOn w:val="Normal"/>
    <w:link w:val="CommentTextChar"/>
    <w:uiPriority w:val="99"/>
    <w:semiHidden/>
    <w:unhideWhenUsed/>
    <w:rsid w:val="0055059E"/>
    <w:rPr>
      <w:sz w:val="20"/>
    </w:rPr>
  </w:style>
  <w:style w:type="character" w:customStyle="1" w:styleId="CommentTextChar">
    <w:name w:val="Comment Text Char"/>
    <w:basedOn w:val="DefaultParagraphFont"/>
    <w:link w:val="CommentText"/>
    <w:uiPriority w:val="99"/>
    <w:semiHidden/>
    <w:rsid w:val="005505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59E"/>
    <w:rPr>
      <w:b/>
      <w:bCs/>
    </w:rPr>
  </w:style>
  <w:style w:type="character" w:customStyle="1" w:styleId="CommentSubjectChar">
    <w:name w:val="Comment Subject Char"/>
    <w:basedOn w:val="CommentTextChar"/>
    <w:link w:val="CommentSubject"/>
    <w:uiPriority w:val="99"/>
    <w:semiHidden/>
    <w:rsid w:val="0055059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50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9E"/>
    <w:rPr>
      <w:rFonts w:ascii="Segoe UI" w:hAnsi="Segoe UI" w:cs="Segoe UI"/>
      <w:sz w:val="18"/>
      <w:szCs w:val="18"/>
    </w:rPr>
  </w:style>
  <w:style w:type="paragraph" w:styleId="Revision">
    <w:name w:val="Revision"/>
    <w:hidden/>
    <w:uiPriority w:val="99"/>
    <w:semiHidden/>
    <w:rsid w:val="00A83852"/>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2039">
      <w:bodyDiv w:val="1"/>
      <w:marLeft w:val="0"/>
      <w:marRight w:val="0"/>
      <w:marTop w:val="0"/>
      <w:marBottom w:val="0"/>
      <w:divBdr>
        <w:top w:val="none" w:sz="0" w:space="0" w:color="auto"/>
        <w:left w:val="none" w:sz="0" w:space="0" w:color="auto"/>
        <w:bottom w:val="none" w:sz="0" w:space="0" w:color="auto"/>
        <w:right w:val="none" w:sz="0" w:space="0" w:color="auto"/>
      </w:divBdr>
    </w:div>
    <w:div w:id="472405903">
      <w:bodyDiv w:val="1"/>
      <w:marLeft w:val="0"/>
      <w:marRight w:val="0"/>
      <w:marTop w:val="0"/>
      <w:marBottom w:val="0"/>
      <w:divBdr>
        <w:top w:val="none" w:sz="0" w:space="0" w:color="auto"/>
        <w:left w:val="none" w:sz="0" w:space="0" w:color="auto"/>
        <w:bottom w:val="none" w:sz="0" w:space="0" w:color="auto"/>
        <w:right w:val="none" w:sz="0" w:space="0" w:color="auto"/>
      </w:divBdr>
    </w:div>
    <w:div w:id="570819976">
      <w:bodyDiv w:val="1"/>
      <w:marLeft w:val="0"/>
      <w:marRight w:val="0"/>
      <w:marTop w:val="0"/>
      <w:marBottom w:val="0"/>
      <w:divBdr>
        <w:top w:val="none" w:sz="0" w:space="0" w:color="auto"/>
        <w:left w:val="none" w:sz="0" w:space="0" w:color="auto"/>
        <w:bottom w:val="none" w:sz="0" w:space="0" w:color="auto"/>
        <w:right w:val="none" w:sz="0" w:space="0" w:color="auto"/>
      </w:divBdr>
      <w:divsChild>
        <w:div w:id="1199506933">
          <w:marLeft w:val="634"/>
          <w:marRight w:val="0"/>
          <w:marTop w:val="120"/>
          <w:marBottom w:val="0"/>
          <w:divBdr>
            <w:top w:val="none" w:sz="0" w:space="0" w:color="auto"/>
            <w:left w:val="none" w:sz="0" w:space="0" w:color="auto"/>
            <w:bottom w:val="none" w:sz="0" w:space="0" w:color="auto"/>
            <w:right w:val="none" w:sz="0" w:space="0" w:color="auto"/>
          </w:divBdr>
        </w:div>
      </w:divsChild>
    </w:div>
    <w:div w:id="595479226">
      <w:bodyDiv w:val="1"/>
      <w:marLeft w:val="0"/>
      <w:marRight w:val="0"/>
      <w:marTop w:val="0"/>
      <w:marBottom w:val="0"/>
      <w:divBdr>
        <w:top w:val="none" w:sz="0" w:space="0" w:color="auto"/>
        <w:left w:val="none" w:sz="0" w:space="0" w:color="auto"/>
        <w:bottom w:val="none" w:sz="0" w:space="0" w:color="auto"/>
        <w:right w:val="none" w:sz="0" w:space="0" w:color="auto"/>
      </w:divBdr>
      <w:divsChild>
        <w:div w:id="1511723417">
          <w:marLeft w:val="2606"/>
          <w:marRight w:val="0"/>
          <w:marTop w:val="120"/>
          <w:marBottom w:val="0"/>
          <w:divBdr>
            <w:top w:val="none" w:sz="0" w:space="0" w:color="auto"/>
            <w:left w:val="none" w:sz="0" w:space="0" w:color="auto"/>
            <w:bottom w:val="none" w:sz="0" w:space="0" w:color="auto"/>
            <w:right w:val="none" w:sz="0" w:space="0" w:color="auto"/>
          </w:divBdr>
        </w:div>
      </w:divsChild>
    </w:div>
    <w:div w:id="863983827">
      <w:bodyDiv w:val="1"/>
      <w:marLeft w:val="0"/>
      <w:marRight w:val="0"/>
      <w:marTop w:val="0"/>
      <w:marBottom w:val="0"/>
      <w:divBdr>
        <w:top w:val="none" w:sz="0" w:space="0" w:color="auto"/>
        <w:left w:val="none" w:sz="0" w:space="0" w:color="auto"/>
        <w:bottom w:val="none" w:sz="0" w:space="0" w:color="auto"/>
        <w:right w:val="none" w:sz="0" w:space="0" w:color="auto"/>
      </w:divBdr>
      <w:divsChild>
        <w:div w:id="1174297100">
          <w:marLeft w:val="634"/>
          <w:marRight w:val="0"/>
          <w:marTop w:val="120"/>
          <w:marBottom w:val="0"/>
          <w:divBdr>
            <w:top w:val="none" w:sz="0" w:space="0" w:color="auto"/>
            <w:left w:val="none" w:sz="0" w:space="0" w:color="auto"/>
            <w:bottom w:val="none" w:sz="0" w:space="0" w:color="auto"/>
            <w:right w:val="none" w:sz="0" w:space="0" w:color="auto"/>
          </w:divBdr>
        </w:div>
      </w:divsChild>
    </w:div>
    <w:div w:id="17480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kpmg.com/kpmg-us/content/dam/kpmg/pdf/2023/digitalized-economy-taxation-developments-summary.pdf" TargetMode="External"/><Relationship Id="rId1" Type="http://schemas.openxmlformats.org/officeDocument/2006/relationships/hyperlink" Target="https://home.treasury.gov/system/files/131/Report-Global-Electronic-Commerce-1996.pdf"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49CA28D-62A5-4450-9D36-285D93C9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21478</Words>
  <Characters>122426</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143617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Pollack, Samuel</dc:creator>
  <cp:keywords/>
  <dc:description/>
  <cp:lastModifiedBy>Pollack, Samuel</cp:lastModifiedBy>
  <cp:revision>4</cp:revision>
  <dcterms:created xsi:type="dcterms:W3CDTF">2023-10-31T01:59:00Z</dcterms:created>
  <dcterms:modified xsi:type="dcterms:W3CDTF">2023-10-31T02:08:00Z</dcterms:modified>
</cp:coreProperties>
</file>