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993" w14:textId="198F8F11" w:rsidR="00646ECD" w:rsidRPr="00E34193" w:rsidRDefault="004B1ADC" w:rsidP="0096648D">
      <w:pPr>
        <w:pStyle w:val="Heading1"/>
        <w:widowControl w:val="0"/>
        <w:jc w:val="center"/>
      </w:pPr>
      <w:r>
        <w:t>C</w:t>
      </w:r>
      <w:r w:rsidR="00185AE1">
        <w:t xml:space="preserve">ode </w:t>
      </w:r>
      <w:r w:rsidR="004A630B">
        <w:t xml:space="preserve">Section 367(b): Where </w:t>
      </w:r>
      <w:r w:rsidR="004A630B" w:rsidRPr="00472C6A">
        <w:t>Do</w:t>
      </w:r>
      <w:r w:rsidR="004A630B">
        <w:t xml:space="preserve"> We Go From Here? </w:t>
      </w:r>
    </w:p>
    <w:p w14:paraId="49DAD159" w14:textId="23E1572B" w:rsidR="0017193D" w:rsidRPr="00613020" w:rsidRDefault="0017193D" w:rsidP="005E68EE">
      <w:pPr>
        <w:widowControl w:val="0"/>
        <w:spacing w:after="240" w:line="240" w:lineRule="auto"/>
        <w:jc w:val="center"/>
        <w:rPr>
          <w:rFonts w:ascii="Times New Roman" w:hAnsi="Times New Roman" w:cs="Times New Roman"/>
        </w:rPr>
      </w:pPr>
      <w:r w:rsidRPr="00613020">
        <w:rPr>
          <w:rFonts w:ascii="Times New Roman" w:hAnsi="Times New Roman" w:cs="Times New Roman"/>
        </w:rPr>
        <w:t>By Gary Scanlon and Elena Madaj</w:t>
      </w:r>
      <w:r w:rsidR="007027D6">
        <w:rPr>
          <w:rStyle w:val="FootnoteReference"/>
          <w:rFonts w:ascii="Times New Roman" w:hAnsi="Times New Roman" w:cs="Times New Roman"/>
        </w:rPr>
        <w:footnoteReference w:id="2"/>
      </w:r>
    </w:p>
    <w:p w14:paraId="2F77088C" w14:textId="693F7DE8" w:rsidR="00AD6477" w:rsidRPr="00AD6477" w:rsidRDefault="00DF508C" w:rsidP="0096648D">
      <w:pPr>
        <w:pStyle w:val="Heading2"/>
        <w:widowControl w:val="0"/>
      </w:pPr>
      <w:r w:rsidRPr="00F90B91">
        <w:t>Introduction</w:t>
      </w:r>
    </w:p>
    <w:p w14:paraId="4C041C68" w14:textId="23668111" w:rsidR="00A37925" w:rsidRDefault="00A8708C" w:rsidP="0096648D">
      <w:pPr>
        <w:widowControl w:val="0"/>
        <w:spacing w:after="240" w:line="240" w:lineRule="auto"/>
        <w:rPr>
          <w:rFonts w:ascii="Times New Roman" w:hAnsi="Times New Roman" w:cs="Times New Roman"/>
        </w:rPr>
      </w:pPr>
      <w:r>
        <w:rPr>
          <w:rFonts w:ascii="Times New Roman" w:hAnsi="Times New Roman" w:cs="Times New Roman"/>
        </w:rPr>
        <w:t xml:space="preserve">The reports of </w:t>
      </w:r>
      <w:r w:rsidR="005320A4">
        <w:rPr>
          <w:rFonts w:ascii="Times New Roman" w:hAnsi="Times New Roman" w:cs="Times New Roman"/>
        </w:rPr>
        <w:t>deferral</w:t>
      </w:r>
      <w:r w:rsidR="004D3F92">
        <w:rPr>
          <w:rFonts w:ascii="Times New Roman" w:hAnsi="Times New Roman" w:cs="Times New Roman"/>
        </w:rPr>
        <w:t>’</w:t>
      </w:r>
      <w:r w:rsidR="00982F74">
        <w:rPr>
          <w:rFonts w:ascii="Times New Roman" w:hAnsi="Times New Roman" w:cs="Times New Roman"/>
        </w:rPr>
        <w:t xml:space="preserve">s death </w:t>
      </w:r>
      <w:r w:rsidR="00D52A39">
        <w:rPr>
          <w:rFonts w:ascii="Times New Roman" w:hAnsi="Times New Roman" w:cs="Times New Roman"/>
        </w:rPr>
        <w:t>have been</w:t>
      </w:r>
      <w:r w:rsidR="005320A4">
        <w:rPr>
          <w:rFonts w:ascii="Times New Roman" w:hAnsi="Times New Roman" w:cs="Times New Roman"/>
        </w:rPr>
        <w:t xml:space="preserve"> </w:t>
      </w:r>
      <w:r>
        <w:rPr>
          <w:rFonts w:ascii="Times New Roman" w:hAnsi="Times New Roman" w:cs="Times New Roman"/>
        </w:rPr>
        <w:t xml:space="preserve">greatly exaggerated. </w:t>
      </w:r>
      <w:r w:rsidR="00E23F18">
        <w:rPr>
          <w:rFonts w:ascii="Times New Roman" w:hAnsi="Times New Roman" w:cs="Times New Roman"/>
        </w:rPr>
        <w:t xml:space="preserve">It </w:t>
      </w:r>
      <w:r w:rsidR="00982F74">
        <w:rPr>
          <w:rFonts w:ascii="Times New Roman" w:hAnsi="Times New Roman" w:cs="Times New Roman"/>
        </w:rPr>
        <w:t>cannot be denied</w:t>
      </w:r>
      <w:r w:rsidR="00E23F18">
        <w:rPr>
          <w:rFonts w:ascii="Times New Roman" w:hAnsi="Times New Roman" w:cs="Times New Roman"/>
        </w:rPr>
        <w:t xml:space="preserve"> that t</w:t>
      </w:r>
      <w:r w:rsidR="00D21C4C">
        <w:rPr>
          <w:rFonts w:ascii="Times New Roman" w:hAnsi="Times New Roman" w:cs="Times New Roman"/>
        </w:rPr>
        <w:t>he Tax Cuts and Jobs Act (the “</w:t>
      </w:r>
      <w:r w:rsidR="00D21C4C" w:rsidRPr="00982F74">
        <w:rPr>
          <w:rFonts w:ascii="Times New Roman" w:hAnsi="Times New Roman" w:cs="Times New Roman"/>
          <w:b/>
          <w:bCs/>
        </w:rPr>
        <w:t>TCJA</w:t>
      </w:r>
      <w:r w:rsidR="00D21C4C">
        <w:rPr>
          <w:rFonts w:ascii="Times New Roman" w:hAnsi="Times New Roman" w:cs="Times New Roman"/>
        </w:rPr>
        <w:t>”)</w:t>
      </w:r>
      <w:bookmarkStart w:id="0" w:name="OLE_LINK1"/>
      <w:r w:rsidR="00B17D07">
        <w:rPr>
          <w:rStyle w:val="FootnoteReference"/>
          <w:rFonts w:ascii="Times New Roman" w:hAnsi="Times New Roman" w:cs="Times New Roman"/>
        </w:rPr>
        <w:footnoteReference w:id="3"/>
      </w:r>
      <w:bookmarkEnd w:id="0"/>
      <w:r w:rsidR="00937761">
        <w:rPr>
          <w:rFonts w:ascii="Times New Roman" w:hAnsi="Times New Roman" w:cs="Times New Roman"/>
        </w:rPr>
        <w:t xml:space="preserve"> </w:t>
      </w:r>
      <w:r w:rsidR="0019123A">
        <w:rPr>
          <w:rFonts w:ascii="Times New Roman" w:hAnsi="Times New Roman" w:cs="Times New Roman"/>
        </w:rPr>
        <w:t xml:space="preserve">made </w:t>
      </w:r>
      <w:r w:rsidR="00937761">
        <w:rPr>
          <w:rFonts w:ascii="Times New Roman" w:hAnsi="Times New Roman" w:cs="Times New Roman"/>
        </w:rPr>
        <w:t>dramatic</w:t>
      </w:r>
      <w:r w:rsidR="0019123A">
        <w:rPr>
          <w:rFonts w:ascii="Times New Roman" w:hAnsi="Times New Roman" w:cs="Times New Roman"/>
        </w:rPr>
        <w:t xml:space="preserve"> changes to </w:t>
      </w:r>
      <w:r w:rsidR="00937761">
        <w:rPr>
          <w:rFonts w:ascii="Times New Roman" w:hAnsi="Times New Roman" w:cs="Times New Roman"/>
        </w:rPr>
        <w:t xml:space="preserve">the taxation of </w:t>
      </w:r>
      <w:r w:rsidR="005320A4">
        <w:rPr>
          <w:rFonts w:ascii="Times New Roman" w:hAnsi="Times New Roman" w:cs="Times New Roman"/>
        </w:rPr>
        <w:t>U</w:t>
      </w:r>
      <w:r w:rsidR="00982F74">
        <w:rPr>
          <w:rFonts w:ascii="Times New Roman" w:hAnsi="Times New Roman" w:cs="Times New Roman"/>
        </w:rPr>
        <w:t>.</w:t>
      </w:r>
      <w:r w:rsidR="005320A4">
        <w:rPr>
          <w:rFonts w:ascii="Times New Roman" w:hAnsi="Times New Roman" w:cs="Times New Roman"/>
        </w:rPr>
        <w:t>S</w:t>
      </w:r>
      <w:r w:rsidR="00982F74">
        <w:rPr>
          <w:rFonts w:ascii="Times New Roman" w:hAnsi="Times New Roman" w:cs="Times New Roman"/>
        </w:rPr>
        <w:t>.</w:t>
      </w:r>
      <w:r w:rsidR="005320A4">
        <w:rPr>
          <w:rFonts w:ascii="Times New Roman" w:hAnsi="Times New Roman" w:cs="Times New Roman"/>
        </w:rPr>
        <w:t xml:space="preserve"> shareholders with respect to </w:t>
      </w:r>
      <w:r w:rsidR="0019123A">
        <w:rPr>
          <w:rFonts w:ascii="Times New Roman" w:hAnsi="Times New Roman" w:cs="Times New Roman"/>
        </w:rPr>
        <w:t xml:space="preserve">the </w:t>
      </w:r>
      <w:r w:rsidR="0033275E">
        <w:rPr>
          <w:rFonts w:ascii="Times New Roman" w:hAnsi="Times New Roman" w:cs="Times New Roman"/>
        </w:rPr>
        <w:t xml:space="preserve">income and </w:t>
      </w:r>
      <w:r w:rsidR="000E3027">
        <w:rPr>
          <w:rFonts w:ascii="Times New Roman" w:hAnsi="Times New Roman" w:cs="Times New Roman"/>
        </w:rPr>
        <w:t xml:space="preserve">earnings of </w:t>
      </w:r>
      <w:r w:rsidR="004D607C">
        <w:rPr>
          <w:rFonts w:ascii="Times New Roman" w:hAnsi="Times New Roman" w:cs="Times New Roman"/>
        </w:rPr>
        <w:t xml:space="preserve">their </w:t>
      </w:r>
      <w:r w:rsidR="00921355">
        <w:rPr>
          <w:rFonts w:ascii="Times New Roman" w:hAnsi="Times New Roman" w:cs="Times New Roman"/>
        </w:rPr>
        <w:t xml:space="preserve">foreign </w:t>
      </w:r>
      <w:r w:rsidR="004D607C">
        <w:rPr>
          <w:rFonts w:ascii="Times New Roman" w:hAnsi="Times New Roman" w:cs="Times New Roman"/>
        </w:rPr>
        <w:t>subsidiaries</w:t>
      </w:r>
      <w:r w:rsidR="00937761">
        <w:rPr>
          <w:rFonts w:ascii="Times New Roman" w:hAnsi="Times New Roman" w:cs="Times New Roman"/>
        </w:rPr>
        <w:t xml:space="preserve">. </w:t>
      </w:r>
      <w:r w:rsidR="00ED1F00">
        <w:rPr>
          <w:rFonts w:ascii="Times New Roman" w:hAnsi="Times New Roman" w:cs="Times New Roman"/>
        </w:rPr>
        <w:t xml:space="preserve">Before the </w:t>
      </w:r>
      <w:r w:rsidR="00937761">
        <w:rPr>
          <w:rFonts w:ascii="Times New Roman" w:hAnsi="Times New Roman" w:cs="Times New Roman"/>
        </w:rPr>
        <w:t xml:space="preserve">TCJA, </w:t>
      </w:r>
      <w:r w:rsidR="002461FF">
        <w:rPr>
          <w:rFonts w:ascii="Times New Roman" w:hAnsi="Times New Roman" w:cs="Times New Roman"/>
        </w:rPr>
        <w:t>except for a</w:t>
      </w:r>
      <w:r w:rsidR="0033275E">
        <w:rPr>
          <w:rFonts w:ascii="Times New Roman" w:hAnsi="Times New Roman" w:cs="Times New Roman"/>
        </w:rPr>
        <w:t xml:space="preserve"> few items </w:t>
      </w:r>
      <w:r w:rsidR="002461FF">
        <w:rPr>
          <w:rFonts w:ascii="Times New Roman" w:hAnsi="Times New Roman" w:cs="Times New Roman"/>
        </w:rPr>
        <w:t>of passive or mobile income</w:t>
      </w:r>
      <w:r w:rsidR="00CF7798">
        <w:rPr>
          <w:rFonts w:ascii="Times New Roman" w:hAnsi="Times New Roman" w:cs="Times New Roman"/>
        </w:rPr>
        <w:t xml:space="preserve"> under subpart F of </w:t>
      </w:r>
      <w:r w:rsidR="00B4198A">
        <w:rPr>
          <w:rFonts w:ascii="Times New Roman" w:hAnsi="Times New Roman" w:cs="Times New Roman"/>
        </w:rPr>
        <w:t xml:space="preserve">the </w:t>
      </w:r>
      <w:r w:rsidR="00CF7798">
        <w:rPr>
          <w:rFonts w:ascii="Times New Roman" w:hAnsi="Times New Roman" w:cs="Times New Roman"/>
        </w:rPr>
        <w:t>Code</w:t>
      </w:r>
      <w:r w:rsidR="00B17D07">
        <w:rPr>
          <w:rFonts w:ascii="Times New Roman" w:hAnsi="Times New Roman" w:cs="Times New Roman"/>
        </w:rPr>
        <w:t>,</w:t>
      </w:r>
      <w:r w:rsidR="00CF7798">
        <w:rPr>
          <w:rStyle w:val="FootnoteReference"/>
          <w:rFonts w:ascii="Times New Roman" w:hAnsi="Times New Roman" w:cs="Times New Roman"/>
        </w:rPr>
        <w:footnoteReference w:id="4"/>
      </w:r>
      <w:r w:rsidR="006E5668">
        <w:rPr>
          <w:rFonts w:ascii="Times New Roman" w:hAnsi="Times New Roman" w:cs="Times New Roman"/>
        </w:rPr>
        <w:t xml:space="preserve"> </w:t>
      </w:r>
      <w:r w:rsidR="00982F74">
        <w:rPr>
          <w:rFonts w:ascii="Times New Roman" w:hAnsi="Times New Roman" w:cs="Times New Roman"/>
        </w:rPr>
        <w:t>the</w:t>
      </w:r>
      <w:r w:rsidR="005F04E1">
        <w:rPr>
          <w:rFonts w:ascii="Times New Roman" w:hAnsi="Times New Roman" w:cs="Times New Roman"/>
        </w:rPr>
        <w:t xml:space="preserve"> foreign</w:t>
      </w:r>
      <w:r w:rsidR="00921355">
        <w:rPr>
          <w:rFonts w:ascii="Times New Roman" w:hAnsi="Times New Roman" w:cs="Times New Roman"/>
        </w:rPr>
        <w:t>-source</w:t>
      </w:r>
      <w:r w:rsidR="002461FF">
        <w:rPr>
          <w:rFonts w:ascii="Times New Roman" w:hAnsi="Times New Roman" w:cs="Times New Roman"/>
        </w:rPr>
        <w:t xml:space="preserve"> income </w:t>
      </w:r>
      <w:r w:rsidR="00982F74">
        <w:rPr>
          <w:rFonts w:ascii="Times New Roman" w:hAnsi="Times New Roman" w:cs="Times New Roman"/>
        </w:rPr>
        <w:t xml:space="preserve">of a </w:t>
      </w:r>
      <w:r w:rsidR="00B17D07">
        <w:rPr>
          <w:rFonts w:ascii="Times New Roman" w:hAnsi="Times New Roman" w:cs="Times New Roman"/>
        </w:rPr>
        <w:t>controlled foreign corporation (“</w:t>
      </w:r>
      <w:r w:rsidR="00B17D07" w:rsidRPr="00787AF5">
        <w:rPr>
          <w:rFonts w:ascii="Times New Roman" w:hAnsi="Times New Roman" w:cs="Times New Roman"/>
          <w:b/>
          <w:bCs/>
        </w:rPr>
        <w:t>CFC</w:t>
      </w:r>
      <w:r w:rsidR="00B17D07">
        <w:rPr>
          <w:rFonts w:ascii="Times New Roman" w:hAnsi="Times New Roman" w:cs="Times New Roman"/>
        </w:rPr>
        <w:t>”)</w:t>
      </w:r>
      <w:r w:rsidR="00982F74">
        <w:rPr>
          <w:rFonts w:ascii="Times New Roman" w:hAnsi="Times New Roman" w:cs="Times New Roman"/>
        </w:rPr>
        <w:t xml:space="preserve"> </w:t>
      </w:r>
      <w:r w:rsidR="00B8226C">
        <w:rPr>
          <w:rFonts w:ascii="Times New Roman" w:hAnsi="Times New Roman" w:cs="Times New Roman"/>
        </w:rPr>
        <w:t xml:space="preserve">was </w:t>
      </w:r>
      <w:r w:rsidR="005F04E1">
        <w:rPr>
          <w:rFonts w:ascii="Times New Roman" w:hAnsi="Times New Roman" w:cs="Times New Roman"/>
        </w:rPr>
        <w:t xml:space="preserve">generally exempt from </w:t>
      </w:r>
      <w:r w:rsidR="00B8226C">
        <w:rPr>
          <w:rFonts w:ascii="Times New Roman" w:hAnsi="Times New Roman" w:cs="Times New Roman"/>
        </w:rPr>
        <w:t xml:space="preserve">U.S. tax until repatriated to </w:t>
      </w:r>
      <w:r w:rsidR="003C4BD3">
        <w:rPr>
          <w:rFonts w:ascii="Times New Roman" w:hAnsi="Times New Roman" w:cs="Times New Roman"/>
        </w:rPr>
        <w:t>its</w:t>
      </w:r>
      <w:r w:rsidR="00B8226C">
        <w:rPr>
          <w:rFonts w:ascii="Times New Roman" w:hAnsi="Times New Roman" w:cs="Times New Roman"/>
        </w:rPr>
        <w:t xml:space="preserve"> shareholders.</w:t>
      </w:r>
      <w:r w:rsidR="00C01EBD">
        <w:rPr>
          <w:rFonts w:ascii="Times New Roman" w:hAnsi="Times New Roman" w:cs="Times New Roman"/>
        </w:rPr>
        <w:t xml:space="preserve"> </w:t>
      </w:r>
      <w:r w:rsidR="00B942F6">
        <w:rPr>
          <w:rFonts w:ascii="Times New Roman" w:hAnsi="Times New Roman" w:cs="Times New Roman"/>
        </w:rPr>
        <w:t xml:space="preserve">The TCJA </w:t>
      </w:r>
      <w:r w:rsidR="005B1856">
        <w:rPr>
          <w:rFonts w:ascii="Times New Roman" w:hAnsi="Times New Roman" w:cs="Times New Roman"/>
        </w:rPr>
        <w:t xml:space="preserve">generally </w:t>
      </w:r>
      <w:r w:rsidR="00B942F6">
        <w:rPr>
          <w:rFonts w:ascii="Times New Roman" w:hAnsi="Times New Roman" w:cs="Times New Roman"/>
        </w:rPr>
        <w:t xml:space="preserve">eliminated </w:t>
      </w:r>
      <w:r w:rsidR="000177D5">
        <w:rPr>
          <w:rFonts w:ascii="Times New Roman" w:hAnsi="Times New Roman" w:cs="Times New Roman"/>
        </w:rPr>
        <w:t xml:space="preserve">this </w:t>
      </w:r>
      <w:r w:rsidR="00B4198A">
        <w:rPr>
          <w:rFonts w:ascii="Times New Roman" w:hAnsi="Times New Roman" w:cs="Times New Roman"/>
        </w:rPr>
        <w:t xml:space="preserve">system of </w:t>
      </w:r>
      <w:r w:rsidR="00B942F6">
        <w:rPr>
          <w:rFonts w:ascii="Times New Roman" w:hAnsi="Times New Roman" w:cs="Times New Roman"/>
        </w:rPr>
        <w:t>deferral for corporate</w:t>
      </w:r>
      <w:r w:rsidR="00316C5D">
        <w:rPr>
          <w:rFonts w:ascii="Times New Roman" w:hAnsi="Times New Roman" w:cs="Times New Roman"/>
        </w:rPr>
        <w:t xml:space="preserve"> </w:t>
      </w:r>
      <w:r w:rsidR="00C01EBD">
        <w:rPr>
          <w:rFonts w:ascii="Times New Roman" w:hAnsi="Times New Roman" w:cs="Times New Roman"/>
        </w:rPr>
        <w:t>U.S. shareholder</w:t>
      </w:r>
      <w:r w:rsidR="003C4BD3">
        <w:rPr>
          <w:rFonts w:ascii="Times New Roman" w:hAnsi="Times New Roman" w:cs="Times New Roman"/>
        </w:rPr>
        <w:t>s of CFCs</w:t>
      </w:r>
      <w:r w:rsidR="00CD0014">
        <w:rPr>
          <w:rFonts w:ascii="Times New Roman" w:hAnsi="Times New Roman" w:cs="Times New Roman"/>
        </w:rPr>
        <w:t>, by</w:t>
      </w:r>
      <w:r w:rsidR="00AD6322">
        <w:rPr>
          <w:rFonts w:ascii="Times New Roman" w:hAnsi="Times New Roman" w:cs="Times New Roman"/>
        </w:rPr>
        <w:t xml:space="preserve"> taxing</w:t>
      </w:r>
      <w:r w:rsidR="003C4BD3">
        <w:rPr>
          <w:rFonts w:ascii="Times New Roman" w:hAnsi="Times New Roman" w:cs="Times New Roman"/>
        </w:rPr>
        <w:t xml:space="preserve"> </w:t>
      </w:r>
      <w:r w:rsidR="000177D5">
        <w:rPr>
          <w:rFonts w:ascii="Times New Roman" w:hAnsi="Times New Roman" w:cs="Times New Roman"/>
        </w:rPr>
        <w:t xml:space="preserve">these </w:t>
      </w:r>
      <w:r w:rsidR="003C4BD3">
        <w:rPr>
          <w:rFonts w:ascii="Times New Roman" w:hAnsi="Times New Roman" w:cs="Times New Roman"/>
        </w:rPr>
        <w:t>shareholder</w:t>
      </w:r>
      <w:r w:rsidR="0019123A">
        <w:rPr>
          <w:rFonts w:ascii="Times New Roman" w:hAnsi="Times New Roman" w:cs="Times New Roman"/>
        </w:rPr>
        <w:t>s</w:t>
      </w:r>
      <w:r w:rsidR="003C4BD3">
        <w:rPr>
          <w:rFonts w:ascii="Times New Roman" w:hAnsi="Times New Roman" w:cs="Times New Roman"/>
        </w:rPr>
        <w:t xml:space="preserve"> </w:t>
      </w:r>
      <w:r w:rsidR="0019123A">
        <w:rPr>
          <w:rFonts w:ascii="Times New Roman" w:hAnsi="Times New Roman" w:cs="Times New Roman"/>
        </w:rPr>
        <w:t xml:space="preserve">currently, </w:t>
      </w:r>
      <w:r w:rsidR="005320A4">
        <w:rPr>
          <w:rFonts w:ascii="Times New Roman" w:hAnsi="Times New Roman" w:cs="Times New Roman"/>
        </w:rPr>
        <w:t>albeit</w:t>
      </w:r>
      <w:r w:rsidR="0019123A">
        <w:rPr>
          <w:rFonts w:ascii="Times New Roman" w:hAnsi="Times New Roman" w:cs="Times New Roman"/>
        </w:rPr>
        <w:t xml:space="preserve"> a lower rate,</w:t>
      </w:r>
      <w:r w:rsidR="003C4BD3">
        <w:rPr>
          <w:rFonts w:ascii="Times New Roman" w:hAnsi="Times New Roman" w:cs="Times New Roman"/>
        </w:rPr>
        <w:t xml:space="preserve"> </w:t>
      </w:r>
      <w:r w:rsidR="0019123A">
        <w:rPr>
          <w:rFonts w:ascii="Times New Roman" w:hAnsi="Times New Roman" w:cs="Times New Roman"/>
        </w:rPr>
        <w:t>on</w:t>
      </w:r>
      <w:r w:rsidR="003C4BD3">
        <w:rPr>
          <w:rFonts w:ascii="Times New Roman" w:hAnsi="Times New Roman" w:cs="Times New Roman"/>
        </w:rPr>
        <w:t xml:space="preserve"> their</w:t>
      </w:r>
      <w:r w:rsidR="00B942F6">
        <w:rPr>
          <w:rFonts w:ascii="Times New Roman" w:hAnsi="Times New Roman" w:cs="Times New Roman"/>
        </w:rPr>
        <w:t xml:space="preserve"> share of</w:t>
      </w:r>
      <w:r w:rsidR="00A9115A">
        <w:rPr>
          <w:rFonts w:ascii="Times New Roman" w:hAnsi="Times New Roman" w:cs="Times New Roman"/>
        </w:rPr>
        <w:t xml:space="preserve"> </w:t>
      </w:r>
      <w:r w:rsidR="000177D5">
        <w:rPr>
          <w:rFonts w:ascii="Times New Roman" w:hAnsi="Times New Roman" w:cs="Times New Roman"/>
        </w:rPr>
        <w:t xml:space="preserve">most categories of CFC income </w:t>
      </w:r>
      <w:r w:rsidR="00AD6322">
        <w:rPr>
          <w:rFonts w:ascii="Times New Roman" w:hAnsi="Times New Roman" w:cs="Times New Roman"/>
        </w:rPr>
        <w:t xml:space="preserve">under </w:t>
      </w:r>
      <w:r w:rsidR="000177D5">
        <w:rPr>
          <w:rFonts w:ascii="Times New Roman" w:hAnsi="Times New Roman" w:cs="Times New Roman"/>
        </w:rPr>
        <w:t xml:space="preserve">the </w:t>
      </w:r>
      <w:r w:rsidR="00CF7798">
        <w:rPr>
          <w:rFonts w:ascii="Times New Roman" w:hAnsi="Times New Roman" w:cs="Times New Roman"/>
        </w:rPr>
        <w:t xml:space="preserve">new </w:t>
      </w:r>
      <w:r w:rsidR="000177D5">
        <w:rPr>
          <w:rFonts w:ascii="Times New Roman" w:hAnsi="Times New Roman" w:cs="Times New Roman"/>
        </w:rPr>
        <w:t xml:space="preserve">global </w:t>
      </w:r>
      <w:r w:rsidR="00CF7798">
        <w:rPr>
          <w:rFonts w:ascii="Times New Roman" w:hAnsi="Times New Roman" w:cs="Times New Roman"/>
        </w:rPr>
        <w:t>intangible low-taxed income (“</w:t>
      </w:r>
      <w:r w:rsidR="00CF7798" w:rsidRPr="00833F95">
        <w:rPr>
          <w:rFonts w:ascii="Times New Roman" w:hAnsi="Times New Roman" w:cs="Times New Roman"/>
          <w:b/>
          <w:bCs/>
        </w:rPr>
        <w:t>GILTI</w:t>
      </w:r>
      <w:r w:rsidR="00CF7798">
        <w:rPr>
          <w:rFonts w:ascii="Times New Roman" w:hAnsi="Times New Roman" w:cs="Times New Roman"/>
        </w:rPr>
        <w:t>”)</w:t>
      </w:r>
      <w:r w:rsidR="007169DF">
        <w:rPr>
          <w:rFonts w:ascii="Times New Roman" w:hAnsi="Times New Roman" w:cs="Times New Roman"/>
        </w:rPr>
        <w:t xml:space="preserve"> </w:t>
      </w:r>
      <w:r w:rsidR="007B126F">
        <w:rPr>
          <w:rFonts w:ascii="Times New Roman" w:hAnsi="Times New Roman" w:cs="Times New Roman"/>
        </w:rPr>
        <w:t>regime</w:t>
      </w:r>
      <w:r w:rsidR="00CF7798">
        <w:rPr>
          <w:rFonts w:ascii="Times New Roman" w:hAnsi="Times New Roman" w:cs="Times New Roman"/>
        </w:rPr>
        <w:t xml:space="preserve">, while </w:t>
      </w:r>
      <w:r w:rsidR="00AD6322">
        <w:rPr>
          <w:rFonts w:ascii="Times New Roman" w:hAnsi="Times New Roman" w:cs="Times New Roman"/>
        </w:rPr>
        <w:t>exempting</w:t>
      </w:r>
      <w:r w:rsidR="00A82323">
        <w:rPr>
          <w:rFonts w:ascii="Times New Roman" w:hAnsi="Times New Roman" w:cs="Times New Roman"/>
        </w:rPr>
        <w:t xml:space="preserve"> </w:t>
      </w:r>
      <w:r w:rsidR="000177D5">
        <w:rPr>
          <w:rFonts w:ascii="Times New Roman" w:hAnsi="Times New Roman" w:cs="Times New Roman"/>
        </w:rPr>
        <w:t>under Code Sec. 245A</w:t>
      </w:r>
      <w:r w:rsidR="00CF7798">
        <w:rPr>
          <w:rFonts w:ascii="Times New Roman" w:hAnsi="Times New Roman" w:cs="Times New Roman"/>
        </w:rPr>
        <w:t xml:space="preserve"> any</w:t>
      </w:r>
      <w:r w:rsidR="000177D5">
        <w:rPr>
          <w:rFonts w:ascii="Times New Roman" w:hAnsi="Times New Roman" w:cs="Times New Roman"/>
        </w:rPr>
        <w:t xml:space="preserve"> </w:t>
      </w:r>
      <w:r w:rsidR="00E52DF8">
        <w:rPr>
          <w:rFonts w:ascii="Times New Roman" w:hAnsi="Times New Roman" w:cs="Times New Roman"/>
        </w:rPr>
        <w:t xml:space="preserve">dividends out </w:t>
      </w:r>
      <w:r w:rsidR="003847C7">
        <w:rPr>
          <w:rFonts w:ascii="Times New Roman" w:hAnsi="Times New Roman" w:cs="Times New Roman"/>
        </w:rPr>
        <w:t>of</w:t>
      </w:r>
      <w:r w:rsidR="00C17975" w:rsidDel="00B2612A">
        <w:rPr>
          <w:rFonts w:ascii="Times New Roman" w:hAnsi="Times New Roman" w:cs="Times New Roman"/>
        </w:rPr>
        <w:t xml:space="preserve"> </w:t>
      </w:r>
      <w:r w:rsidR="00C17975">
        <w:rPr>
          <w:rFonts w:ascii="Times New Roman" w:hAnsi="Times New Roman" w:cs="Times New Roman"/>
        </w:rPr>
        <w:t>earnings and profits (“</w:t>
      </w:r>
      <w:r w:rsidR="003847C7" w:rsidRPr="00C17975">
        <w:rPr>
          <w:rFonts w:ascii="Times New Roman" w:hAnsi="Times New Roman" w:cs="Times New Roman"/>
          <w:b/>
          <w:bCs/>
        </w:rPr>
        <w:t>E&amp;P</w:t>
      </w:r>
      <w:r w:rsidR="00C17975">
        <w:rPr>
          <w:rFonts w:ascii="Times New Roman" w:hAnsi="Times New Roman" w:cs="Times New Roman"/>
        </w:rPr>
        <w:t>”)</w:t>
      </w:r>
      <w:r w:rsidR="000177D5">
        <w:rPr>
          <w:rFonts w:ascii="Times New Roman" w:hAnsi="Times New Roman" w:cs="Times New Roman"/>
        </w:rPr>
        <w:t xml:space="preserve"> not otherwise </w:t>
      </w:r>
      <w:r w:rsidR="0008284B">
        <w:rPr>
          <w:rFonts w:ascii="Times New Roman" w:hAnsi="Times New Roman" w:cs="Times New Roman"/>
        </w:rPr>
        <w:t xml:space="preserve">picked up </w:t>
      </w:r>
      <w:r w:rsidR="00CF7798">
        <w:rPr>
          <w:rFonts w:ascii="Times New Roman" w:hAnsi="Times New Roman" w:cs="Times New Roman"/>
        </w:rPr>
        <w:t>under</w:t>
      </w:r>
      <w:r w:rsidR="000177D5">
        <w:rPr>
          <w:rFonts w:ascii="Times New Roman" w:hAnsi="Times New Roman" w:cs="Times New Roman"/>
        </w:rPr>
        <w:t xml:space="preserve"> GILTI or subpart F</w:t>
      </w:r>
      <w:r w:rsidR="00B2612A">
        <w:rPr>
          <w:rFonts w:ascii="Times New Roman" w:hAnsi="Times New Roman" w:cs="Times New Roman"/>
        </w:rPr>
        <w:t xml:space="preserve"> (such E&amp;P, “</w:t>
      </w:r>
      <w:r w:rsidR="00B2612A">
        <w:rPr>
          <w:rFonts w:ascii="Times New Roman" w:hAnsi="Times New Roman" w:cs="Times New Roman"/>
          <w:b/>
          <w:bCs/>
        </w:rPr>
        <w:t>untaxed E&amp;P</w:t>
      </w:r>
      <w:r w:rsidR="00B2612A">
        <w:rPr>
          <w:rFonts w:ascii="Times New Roman" w:hAnsi="Times New Roman" w:cs="Times New Roman"/>
        </w:rPr>
        <w:t>”)</w:t>
      </w:r>
      <w:r w:rsidR="004405FE">
        <w:rPr>
          <w:rFonts w:ascii="Times New Roman" w:hAnsi="Times New Roman" w:cs="Times New Roman"/>
        </w:rPr>
        <w:t xml:space="preserve">. </w:t>
      </w:r>
      <w:r w:rsidR="00E52DF8">
        <w:rPr>
          <w:rFonts w:ascii="Times New Roman" w:hAnsi="Times New Roman" w:cs="Times New Roman"/>
        </w:rPr>
        <w:t>But</w:t>
      </w:r>
      <w:r w:rsidR="003F6E6E">
        <w:rPr>
          <w:rFonts w:ascii="Times New Roman" w:hAnsi="Times New Roman" w:cs="Times New Roman"/>
        </w:rPr>
        <w:t xml:space="preserve">, as </w:t>
      </w:r>
      <w:r w:rsidR="00FF5BC6">
        <w:rPr>
          <w:rFonts w:ascii="Times New Roman" w:hAnsi="Times New Roman" w:cs="Times New Roman"/>
        </w:rPr>
        <w:t>in the case of the</w:t>
      </w:r>
      <w:r w:rsidR="00FF5BC6" w:rsidRPr="00FF5BC6">
        <w:rPr>
          <w:rFonts w:ascii="Times New Roman" w:hAnsi="Times New Roman" w:cs="Times New Roman"/>
        </w:rPr>
        <w:t xml:space="preserve"> six</w:t>
      </w:r>
      <w:r w:rsidR="00FF5BC6">
        <w:rPr>
          <w:rFonts w:ascii="Times New Roman" w:hAnsi="Times New Roman" w:cs="Times New Roman"/>
        </w:rPr>
        <w:t>-</w:t>
      </w:r>
      <w:r w:rsidR="00FF5BC6" w:rsidRPr="00FF5BC6">
        <w:rPr>
          <w:rFonts w:ascii="Times New Roman" w:hAnsi="Times New Roman" w:cs="Times New Roman"/>
        </w:rPr>
        <w:t>foot tall statistician</w:t>
      </w:r>
      <w:r w:rsidR="00D3462C">
        <w:rPr>
          <w:rFonts w:ascii="Times New Roman" w:hAnsi="Times New Roman" w:cs="Times New Roman"/>
        </w:rPr>
        <w:t xml:space="preserve"> who drowned</w:t>
      </w:r>
      <w:r w:rsidR="00FF5BC6" w:rsidRPr="00FF5BC6">
        <w:rPr>
          <w:rFonts w:ascii="Times New Roman" w:hAnsi="Times New Roman" w:cs="Times New Roman"/>
        </w:rPr>
        <w:t xml:space="preserve"> in a </w:t>
      </w:r>
      <w:r w:rsidR="002334FC">
        <w:rPr>
          <w:rFonts w:ascii="Times New Roman" w:hAnsi="Times New Roman" w:cs="Times New Roman"/>
        </w:rPr>
        <w:t>lake</w:t>
      </w:r>
      <w:r w:rsidR="002334FC" w:rsidRPr="00FF5BC6">
        <w:rPr>
          <w:rFonts w:ascii="Times New Roman" w:hAnsi="Times New Roman" w:cs="Times New Roman"/>
        </w:rPr>
        <w:t xml:space="preserve"> </w:t>
      </w:r>
      <w:r w:rsidR="00FF5BC6" w:rsidRPr="00FF5BC6">
        <w:rPr>
          <w:rFonts w:ascii="Times New Roman" w:hAnsi="Times New Roman" w:cs="Times New Roman"/>
        </w:rPr>
        <w:t>with an average depth of only two feet</w:t>
      </w:r>
      <w:r w:rsidR="00FF5BC6">
        <w:rPr>
          <w:rFonts w:ascii="Times New Roman" w:hAnsi="Times New Roman" w:cs="Times New Roman"/>
        </w:rPr>
        <w:t>,</w:t>
      </w:r>
      <w:r w:rsidR="00157E2F">
        <w:rPr>
          <w:rStyle w:val="FootnoteReference"/>
          <w:rFonts w:ascii="Times New Roman" w:hAnsi="Times New Roman" w:cs="Times New Roman"/>
        </w:rPr>
        <w:footnoteReference w:id="5"/>
      </w:r>
      <w:r w:rsidR="00FF5BC6">
        <w:rPr>
          <w:rFonts w:ascii="Times New Roman" w:hAnsi="Times New Roman" w:cs="Times New Roman"/>
        </w:rPr>
        <w:t xml:space="preserve"> </w:t>
      </w:r>
      <w:bookmarkStart w:id="2" w:name="OLE_LINK2"/>
      <w:r w:rsidR="00FF5BC6">
        <w:rPr>
          <w:rFonts w:ascii="Times New Roman" w:hAnsi="Times New Roman" w:cs="Times New Roman"/>
        </w:rPr>
        <w:t xml:space="preserve">generalities can be </w:t>
      </w:r>
      <w:r w:rsidR="003F6E6E">
        <w:rPr>
          <w:rFonts w:ascii="Times New Roman" w:hAnsi="Times New Roman" w:cs="Times New Roman"/>
        </w:rPr>
        <w:t>dangerous</w:t>
      </w:r>
      <w:bookmarkEnd w:id="2"/>
      <w:r w:rsidR="00FF5BC6">
        <w:rPr>
          <w:rFonts w:ascii="Times New Roman" w:hAnsi="Times New Roman" w:cs="Times New Roman"/>
        </w:rPr>
        <w:t xml:space="preserve">. </w:t>
      </w:r>
      <w:r w:rsidR="003F6E6E">
        <w:rPr>
          <w:rFonts w:ascii="Times New Roman" w:hAnsi="Times New Roman" w:cs="Times New Roman"/>
        </w:rPr>
        <w:t xml:space="preserve">Not all </w:t>
      </w:r>
      <w:r w:rsidR="00B17D07">
        <w:rPr>
          <w:rFonts w:ascii="Times New Roman" w:hAnsi="Times New Roman" w:cs="Times New Roman"/>
        </w:rPr>
        <w:t>CFC E&amp;P attributable to</w:t>
      </w:r>
      <w:r w:rsidR="00E52DF8">
        <w:rPr>
          <w:rFonts w:ascii="Times New Roman" w:hAnsi="Times New Roman" w:cs="Times New Roman"/>
        </w:rPr>
        <w:t xml:space="preserve"> corporate U.S. shareholders can be repatriated </w:t>
      </w:r>
      <w:r w:rsidR="003F6E6E">
        <w:rPr>
          <w:rFonts w:ascii="Times New Roman" w:hAnsi="Times New Roman" w:cs="Times New Roman"/>
        </w:rPr>
        <w:t xml:space="preserve">tax-free. </w:t>
      </w:r>
      <w:r w:rsidR="001E0A3E">
        <w:rPr>
          <w:rFonts w:ascii="Times New Roman" w:hAnsi="Times New Roman" w:cs="Times New Roman"/>
        </w:rPr>
        <w:t>And</w:t>
      </w:r>
      <w:r w:rsidR="003F6E6E">
        <w:rPr>
          <w:rFonts w:ascii="Times New Roman" w:hAnsi="Times New Roman" w:cs="Times New Roman"/>
        </w:rPr>
        <w:t xml:space="preserve"> i</w:t>
      </w:r>
      <w:r w:rsidR="001E0E2E">
        <w:rPr>
          <w:rFonts w:ascii="Times New Roman" w:hAnsi="Times New Roman" w:cs="Times New Roman"/>
        </w:rPr>
        <w:t xml:space="preserve">ndividual U.S. shareholders </w:t>
      </w:r>
      <w:r w:rsidR="00760DFB">
        <w:rPr>
          <w:rFonts w:ascii="Times New Roman" w:hAnsi="Times New Roman" w:cs="Times New Roman"/>
        </w:rPr>
        <w:t xml:space="preserve">of CFCs </w:t>
      </w:r>
      <w:r w:rsidR="00C66A90">
        <w:rPr>
          <w:rFonts w:ascii="Times New Roman" w:hAnsi="Times New Roman" w:cs="Times New Roman"/>
        </w:rPr>
        <w:t xml:space="preserve">fared </w:t>
      </w:r>
      <w:r w:rsidR="001E0A3E">
        <w:rPr>
          <w:rFonts w:ascii="Times New Roman" w:hAnsi="Times New Roman" w:cs="Times New Roman"/>
        </w:rPr>
        <w:t xml:space="preserve">even </w:t>
      </w:r>
      <w:r w:rsidR="00C66A90">
        <w:rPr>
          <w:rFonts w:ascii="Times New Roman" w:hAnsi="Times New Roman" w:cs="Times New Roman"/>
        </w:rPr>
        <w:t xml:space="preserve">less well </w:t>
      </w:r>
      <w:r w:rsidR="003F6E6E">
        <w:rPr>
          <w:rFonts w:ascii="Times New Roman" w:hAnsi="Times New Roman" w:cs="Times New Roman"/>
        </w:rPr>
        <w:t xml:space="preserve">than their corporate counterparts </w:t>
      </w:r>
      <w:r w:rsidR="00C66A90">
        <w:rPr>
          <w:rFonts w:ascii="Times New Roman" w:hAnsi="Times New Roman" w:cs="Times New Roman"/>
        </w:rPr>
        <w:t xml:space="preserve">under </w:t>
      </w:r>
      <w:r w:rsidR="00473365">
        <w:rPr>
          <w:rFonts w:ascii="Times New Roman" w:hAnsi="Times New Roman" w:cs="Times New Roman"/>
        </w:rPr>
        <w:t>the TCJA</w:t>
      </w:r>
      <w:r w:rsidR="00D3462C">
        <w:rPr>
          <w:rFonts w:ascii="Times New Roman" w:hAnsi="Times New Roman" w:cs="Times New Roman"/>
        </w:rPr>
        <w:t xml:space="preserve">. Not </w:t>
      </w:r>
      <w:r w:rsidR="00473365">
        <w:rPr>
          <w:rFonts w:ascii="Times New Roman" w:hAnsi="Times New Roman" w:cs="Times New Roman"/>
        </w:rPr>
        <w:t>only are</w:t>
      </w:r>
      <w:r w:rsidR="00AC3850">
        <w:rPr>
          <w:rFonts w:ascii="Times New Roman" w:hAnsi="Times New Roman" w:cs="Times New Roman"/>
        </w:rPr>
        <w:t xml:space="preserve"> these individuals</w:t>
      </w:r>
      <w:r w:rsidR="00473365">
        <w:rPr>
          <w:rFonts w:ascii="Times New Roman" w:hAnsi="Times New Roman" w:cs="Times New Roman"/>
        </w:rPr>
        <w:t xml:space="preserve"> taxed</w:t>
      </w:r>
      <w:r w:rsidR="001E0E2E">
        <w:rPr>
          <w:rFonts w:ascii="Times New Roman" w:hAnsi="Times New Roman" w:cs="Times New Roman"/>
        </w:rPr>
        <w:t xml:space="preserve"> </w:t>
      </w:r>
      <w:r w:rsidR="00760DFB">
        <w:rPr>
          <w:rFonts w:ascii="Times New Roman" w:hAnsi="Times New Roman" w:cs="Times New Roman"/>
        </w:rPr>
        <w:t xml:space="preserve">immediately </w:t>
      </w:r>
      <w:r w:rsidR="00AC3850">
        <w:rPr>
          <w:rFonts w:ascii="Times New Roman" w:hAnsi="Times New Roman" w:cs="Times New Roman"/>
        </w:rPr>
        <w:t>with respect to</w:t>
      </w:r>
      <w:r w:rsidR="0008284B">
        <w:rPr>
          <w:rFonts w:ascii="Times New Roman" w:hAnsi="Times New Roman" w:cs="Times New Roman"/>
        </w:rPr>
        <w:t xml:space="preserve"> the general foreign income of their</w:t>
      </w:r>
      <w:r w:rsidR="0033275E">
        <w:rPr>
          <w:rFonts w:ascii="Times New Roman" w:hAnsi="Times New Roman" w:cs="Times New Roman"/>
        </w:rPr>
        <w:t xml:space="preserve"> </w:t>
      </w:r>
      <w:r w:rsidR="00AC3850">
        <w:rPr>
          <w:rFonts w:ascii="Times New Roman" w:hAnsi="Times New Roman" w:cs="Times New Roman"/>
        </w:rPr>
        <w:t>CFC</w:t>
      </w:r>
      <w:r w:rsidR="0033275E">
        <w:rPr>
          <w:rFonts w:ascii="Times New Roman" w:hAnsi="Times New Roman" w:cs="Times New Roman"/>
        </w:rPr>
        <w:t>s</w:t>
      </w:r>
      <w:r w:rsidR="00AC3850">
        <w:rPr>
          <w:rFonts w:ascii="Times New Roman" w:hAnsi="Times New Roman" w:cs="Times New Roman"/>
        </w:rPr>
        <w:t xml:space="preserve"> </w:t>
      </w:r>
      <w:r w:rsidR="0019123A">
        <w:rPr>
          <w:rFonts w:ascii="Times New Roman" w:hAnsi="Times New Roman" w:cs="Times New Roman"/>
        </w:rPr>
        <w:t xml:space="preserve">at </w:t>
      </w:r>
      <w:r w:rsidR="00F1036D">
        <w:rPr>
          <w:rFonts w:ascii="Times New Roman" w:hAnsi="Times New Roman" w:cs="Times New Roman"/>
        </w:rPr>
        <w:t>their</w:t>
      </w:r>
      <w:r w:rsidR="0019123A">
        <w:rPr>
          <w:rFonts w:ascii="Times New Roman" w:hAnsi="Times New Roman" w:cs="Times New Roman"/>
        </w:rPr>
        <w:t xml:space="preserve"> marginal tax rate</w:t>
      </w:r>
      <w:r w:rsidR="00760DFB">
        <w:rPr>
          <w:rFonts w:ascii="Times New Roman" w:hAnsi="Times New Roman" w:cs="Times New Roman"/>
        </w:rPr>
        <w:t xml:space="preserve">, </w:t>
      </w:r>
      <w:r w:rsidR="0019123A">
        <w:rPr>
          <w:rFonts w:ascii="Times New Roman" w:hAnsi="Times New Roman" w:cs="Times New Roman"/>
        </w:rPr>
        <w:t>any</w:t>
      </w:r>
      <w:r w:rsidR="00F0762B">
        <w:rPr>
          <w:rFonts w:ascii="Times New Roman" w:hAnsi="Times New Roman" w:cs="Times New Roman"/>
        </w:rPr>
        <w:t xml:space="preserve"> dividends </w:t>
      </w:r>
      <w:r w:rsidR="00783228">
        <w:rPr>
          <w:rFonts w:ascii="Times New Roman" w:hAnsi="Times New Roman" w:cs="Times New Roman"/>
        </w:rPr>
        <w:t xml:space="preserve">they receive </w:t>
      </w:r>
      <w:r w:rsidR="00F0762B">
        <w:rPr>
          <w:rFonts w:ascii="Times New Roman" w:hAnsi="Times New Roman" w:cs="Times New Roman"/>
        </w:rPr>
        <w:t>out of</w:t>
      </w:r>
      <w:r w:rsidR="00473365">
        <w:rPr>
          <w:rFonts w:ascii="Times New Roman" w:hAnsi="Times New Roman" w:cs="Times New Roman"/>
        </w:rPr>
        <w:t xml:space="preserve"> </w:t>
      </w:r>
      <w:r w:rsidR="00B2612A">
        <w:rPr>
          <w:rFonts w:ascii="Times New Roman" w:hAnsi="Times New Roman" w:cs="Times New Roman"/>
        </w:rPr>
        <w:t xml:space="preserve">untaxed </w:t>
      </w:r>
      <w:r w:rsidR="00551C5C">
        <w:rPr>
          <w:rFonts w:ascii="Times New Roman" w:hAnsi="Times New Roman" w:cs="Times New Roman"/>
        </w:rPr>
        <w:t>E&amp;P</w:t>
      </w:r>
      <w:r w:rsidR="00304F2F">
        <w:rPr>
          <w:rFonts w:ascii="Times New Roman" w:hAnsi="Times New Roman" w:cs="Times New Roman"/>
        </w:rPr>
        <w:t xml:space="preserve"> are</w:t>
      </w:r>
      <w:r w:rsidR="00982F74">
        <w:rPr>
          <w:rFonts w:ascii="Times New Roman" w:hAnsi="Times New Roman" w:cs="Times New Roman"/>
        </w:rPr>
        <w:t xml:space="preserve"> also</w:t>
      </w:r>
      <w:r w:rsidR="00F0762B">
        <w:rPr>
          <w:rFonts w:ascii="Times New Roman" w:hAnsi="Times New Roman" w:cs="Times New Roman"/>
        </w:rPr>
        <w:t xml:space="preserve"> taxable</w:t>
      </w:r>
      <w:r w:rsidR="008A2072">
        <w:rPr>
          <w:rFonts w:ascii="Times New Roman" w:hAnsi="Times New Roman" w:cs="Times New Roman"/>
        </w:rPr>
        <w:t xml:space="preserve">. </w:t>
      </w:r>
      <w:r w:rsidR="00783228">
        <w:rPr>
          <w:rFonts w:ascii="Times New Roman" w:hAnsi="Times New Roman" w:cs="Times New Roman"/>
        </w:rPr>
        <w:t>It sucks to be human.</w:t>
      </w:r>
    </w:p>
    <w:p w14:paraId="587869BB" w14:textId="76C7FA2F" w:rsidR="007B3D0B" w:rsidRDefault="005C5A5D" w:rsidP="0096648D">
      <w:pPr>
        <w:widowControl w:val="0"/>
        <w:spacing w:after="240" w:line="240" w:lineRule="auto"/>
        <w:rPr>
          <w:rFonts w:ascii="Times New Roman" w:hAnsi="Times New Roman" w:cs="Times New Roman"/>
        </w:rPr>
      </w:pPr>
      <w:r w:rsidRPr="00A93728">
        <w:rPr>
          <w:rFonts w:ascii="Times New Roman" w:hAnsi="Times New Roman" w:cs="Times New Roman"/>
        </w:rPr>
        <w:t xml:space="preserve">Congress enacted </w:t>
      </w:r>
      <w:r w:rsidR="00872C87">
        <w:rPr>
          <w:rFonts w:ascii="Times New Roman" w:hAnsi="Times New Roman" w:cs="Times New Roman"/>
        </w:rPr>
        <w:t xml:space="preserve">Code Sec. </w:t>
      </w:r>
      <w:r w:rsidRPr="00A93728">
        <w:rPr>
          <w:rFonts w:ascii="Times New Roman" w:hAnsi="Times New Roman" w:cs="Times New Roman"/>
        </w:rPr>
        <w:t xml:space="preserve">367(b) </w:t>
      </w:r>
      <w:r w:rsidR="00833F95">
        <w:rPr>
          <w:rFonts w:ascii="Times New Roman" w:hAnsi="Times New Roman" w:cs="Times New Roman"/>
        </w:rPr>
        <w:t xml:space="preserve">in 1976 </w:t>
      </w:r>
      <w:r w:rsidRPr="00A93728">
        <w:rPr>
          <w:rFonts w:ascii="Times New Roman" w:hAnsi="Times New Roman" w:cs="Times New Roman"/>
        </w:rPr>
        <w:t xml:space="preserve">to </w:t>
      </w:r>
      <w:r w:rsidR="00833F95">
        <w:rPr>
          <w:rFonts w:ascii="Times New Roman" w:hAnsi="Times New Roman" w:cs="Times New Roman"/>
        </w:rPr>
        <w:t xml:space="preserve">backstop deferral in the context of nonrecognition transactions </w:t>
      </w:r>
      <w:r w:rsidR="00F231DE">
        <w:rPr>
          <w:rFonts w:ascii="Times New Roman" w:hAnsi="Times New Roman" w:cs="Times New Roman"/>
        </w:rPr>
        <w:t xml:space="preserve">governed by </w:t>
      </w:r>
      <w:r w:rsidR="00833F95">
        <w:rPr>
          <w:rFonts w:ascii="Times New Roman" w:hAnsi="Times New Roman" w:cs="Times New Roman"/>
        </w:rPr>
        <w:t>subchapter C of the Code</w:t>
      </w:r>
      <w:r w:rsidR="00801892">
        <w:rPr>
          <w:rFonts w:ascii="Times New Roman" w:hAnsi="Times New Roman" w:cs="Times New Roman"/>
        </w:rPr>
        <w:t xml:space="preserve">. Absent </w:t>
      </w:r>
      <w:r w:rsidR="004925F0">
        <w:rPr>
          <w:rFonts w:ascii="Times New Roman" w:hAnsi="Times New Roman" w:cs="Times New Roman"/>
        </w:rPr>
        <w:t>Code Sec. 367(b),</w:t>
      </w:r>
      <w:r w:rsidR="00833F95">
        <w:rPr>
          <w:rFonts w:ascii="Times New Roman" w:hAnsi="Times New Roman" w:cs="Times New Roman"/>
        </w:rPr>
        <w:t xml:space="preserve"> </w:t>
      </w:r>
      <w:r w:rsidR="00F231DE">
        <w:rPr>
          <w:rFonts w:ascii="Times New Roman" w:hAnsi="Times New Roman" w:cs="Times New Roman"/>
        </w:rPr>
        <w:t>these transactions</w:t>
      </w:r>
      <w:r w:rsidR="007307A4">
        <w:rPr>
          <w:rFonts w:ascii="Times New Roman" w:hAnsi="Times New Roman" w:cs="Times New Roman"/>
        </w:rPr>
        <w:t xml:space="preserve"> </w:t>
      </w:r>
      <w:r w:rsidR="00833F95">
        <w:rPr>
          <w:rFonts w:ascii="Times New Roman" w:hAnsi="Times New Roman" w:cs="Times New Roman"/>
        </w:rPr>
        <w:t xml:space="preserve">could </w:t>
      </w:r>
      <w:r w:rsidR="001641AA">
        <w:rPr>
          <w:rFonts w:ascii="Times New Roman" w:hAnsi="Times New Roman" w:cs="Times New Roman"/>
        </w:rPr>
        <w:t xml:space="preserve">effectively </w:t>
      </w:r>
      <w:r w:rsidR="0053614E">
        <w:rPr>
          <w:rFonts w:ascii="Times New Roman" w:hAnsi="Times New Roman" w:cs="Times New Roman"/>
        </w:rPr>
        <w:t>convert a</w:t>
      </w:r>
      <w:r w:rsidR="005176B5">
        <w:rPr>
          <w:rFonts w:ascii="Times New Roman" w:hAnsi="Times New Roman" w:cs="Times New Roman"/>
        </w:rPr>
        <w:t xml:space="preserve"> “deferral of tax” </w:t>
      </w:r>
      <w:r w:rsidR="0053614E">
        <w:rPr>
          <w:rFonts w:ascii="Times New Roman" w:hAnsi="Times New Roman" w:cs="Times New Roman"/>
        </w:rPr>
        <w:t>into</w:t>
      </w:r>
      <w:r w:rsidR="004925F0">
        <w:rPr>
          <w:rFonts w:ascii="Times New Roman" w:hAnsi="Times New Roman" w:cs="Times New Roman"/>
        </w:rPr>
        <w:t xml:space="preserve"> a</w:t>
      </w:r>
      <w:r w:rsidR="005176B5">
        <w:rPr>
          <w:rFonts w:ascii="Times New Roman" w:hAnsi="Times New Roman" w:cs="Times New Roman"/>
        </w:rPr>
        <w:t xml:space="preserve"> “forgiveness of tax</w:t>
      </w:r>
      <w:r w:rsidR="00801892">
        <w:rPr>
          <w:rFonts w:ascii="Times New Roman" w:hAnsi="Times New Roman" w:cs="Times New Roman"/>
        </w:rPr>
        <w:t>”</w:t>
      </w:r>
      <w:r w:rsidR="004227F9">
        <w:rPr>
          <w:rStyle w:val="FootnoteReference"/>
          <w:rFonts w:ascii="Times New Roman" w:hAnsi="Times New Roman" w:cs="Times New Roman"/>
        </w:rPr>
        <w:footnoteReference w:id="6"/>
      </w:r>
      <w:r w:rsidR="00801892">
        <w:rPr>
          <w:rFonts w:ascii="Times New Roman" w:hAnsi="Times New Roman" w:cs="Times New Roman"/>
        </w:rPr>
        <w:t xml:space="preserve"> and</w:t>
      </w:r>
      <w:r w:rsidR="0053614E">
        <w:rPr>
          <w:rFonts w:ascii="Times New Roman" w:hAnsi="Times New Roman" w:cs="Times New Roman"/>
        </w:rPr>
        <w:t xml:space="preserve"> ordinary income into capital gain.</w:t>
      </w:r>
      <w:r w:rsidR="0053614E">
        <w:rPr>
          <w:rStyle w:val="FootnoteReference"/>
          <w:rFonts w:ascii="Times New Roman" w:hAnsi="Times New Roman" w:cs="Times New Roman"/>
        </w:rPr>
        <w:footnoteReference w:id="7"/>
      </w:r>
      <w:r w:rsidR="0053614E">
        <w:rPr>
          <w:rFonts w:ascii="Times New Roman" w:hAnsi="Times New Roman" w:cs="Times New Roman"/>
        </w:rPr>
        <w:t xml:space="preserve"> </w:t>
      </w:r>
      <w:r w:rsidR="001641AA">
        <w:rPr>
          <w:rFonts w:ascii="Times New Roman" w:hAnsi="Times New Roman" w:cs="Times New Roman"/>
        </w:rPr>
        <w:t>In furtherance of</w:t>
      </w:r>
      <w:r w:rsidRPr="00A93728">
        <w:rPr>
          <w:rFonts w:ascii="Times New Roman" w:hAnsi="Times New Roman" w:cs="Times New Roman"/>
        </w:rPr>
        <w:t xml:space="preserve"> this policy, the regulations under </w:t>
      </w:r>
      <w:r w:rsidR="00F64182">
        <w:rPr>
          <w:rFonts w:ascii="Times New Roman" w:hAnsi="Times New Roman" w:cs="Times New Roman"/>
        </w:rPr>
        <w:t>Code Sec.</w:t>
      </w:r>
      <w:r w:rsidR="00F64182" w:rsidRPr="00A93728">
        <w:rPr>
          <w:rFonts w:ascii="Times New Roman" w:hAnsi="Times New Roman" w:cs="Times New Roman"/>
        </w:rPr>
        <w:t xml:space="preserve"> </w:t>
      </w:r>
      <w:r w:rsidRPr="00A93728">
        <w:rPr>
          <w:rFonts w:ascii="Times New Roman" w:hAnsi="Times New Roman" w:cs="Times New Roman"/>
        </w:rPr>
        <w:t xml:space="preserve">367(b) </w:t>
      </w:r>
      <w:r w:rsidR="007A3626">
        <w:rPr>
          <w:rFonts w:ascii="Times New Roman" w:hAnsi="Times New Roman" w:cs="Times New Roman"/>
        </w:rPr>
        <w:t>(the “</w:t>
      </w:r>
      <w:r w:rsidR="004714E0">
        <w:rPr>
          <w:rFonts w:ascii="Times New Roman" w:hAnsi="Times New Roman" w:cs="Times New Roman"/>
          <w:b/>
          <w:bCs/>
        </w:rPr>
        <w:t>367(b) regulations</w:t>
      </w:r>
      <w:r w:rsidR="007A3626">
        <w:rPr>
          <w:rFonts w:ascii="Times New Roman" w:hAnsi="Times New Roman" w:cs="Times New Roman"/>
        </w:rPr>
        <w:t xml:space="preserve">”) </w:t>
      </w:r>
      <w:r w:rsidRPr="00A93728">
        <w:rPr>
          <w:rFonts w:ascii="Times New Roman" w:hAnsi="Times New Roman" w:cs="Times New Roman"/>
        </w:rPr>
        <w:t>require</w:t>
      </w:r>
      <w:r w:rsidR="00E72093">
        <w:rPr>
          <w:rFonts w:ascii="Times New Roman" w:hAnsi="Times New Roman" w:cs="Times New Roman"/>
        </w:rPr>
        <w:t xml:space="preserve"> </w:t>
      </w:r>
      <w:r w:rsidR="00710FB2">
        <w:rPr>
          <w:rFonts w:ascii="Times New Roman" w:hAnsi="Times New Roman" w:cs="Times New Roman"/>
        </w:rPr>
        <w:t xml:space="preserve">certain </w:t>
      </w:r>
      <w:r w:rsidR="00E72093">
        <w:rPr>
          <w:rFonts w:ascii="Times New Roman" w:hAnsi="Times New Roman" w:cs="Times New Roman"/>
        </w:rPr>
        <w:t>exchanging shareholder</w:t>
      </w:r>
      <w:r w:rsidR="00710FB2">
        <w:rPr>
          <w:rFonts w:ascii="Times New Roman" w:hAnsi="Times New Roman" w:cs="Times New Roman"/>
        </w:rPr>
        <w:t xml:space="preserve">s </w:t>
      </w:r>
      <w:r w:rsidR="00E72093">
        <w:rPr>
          <w:rFonts w:ascii="Times New Roman" w:hAnsi="Times New Roman" w:cs="Times New Roman"/>
        </w:rPr>
        <w:t xml:space="preserve">to recognize income </w:t>
      </w:r>
      <w:r w:rsidRPr="00A93728">
        <w:rPr>
          <w:rFonts w:ascii="Times New Roman" w:hAnsi="Times New Roman" w:cs="Times New Roman"/>
        </w:rPr>
        <w:t>on the importation of basis and E&amp;P in inbound nonrecognition transaction</w:t>
      </w:r>
      <w:r w:rsidR="007307A4">
        <w:rPr>
          <w:rFonts w:ascii="Times New Roman" w:hAnsi="Times New Roman" w:cs="Times New Roman"/>
        </w:rPr>
        <w:t>s</w:t>
      </w:r>
      <w:r w:rsidR="00E72093">
        <w:rPr>
          <w:rFonts w:ascii="Times New Roman" w:hAnsi="Times New Roman" w:cs="Times New Roman"/>
        </w:rPr>
        <w:t xml:space="preserve"> or</w:t>
      </w:r>
      <w:r w:rsidR="00E64250">
        <w:rPr>
          <w:rFonts w:ascii="Times New Roman" w:hAnsi="Times New Roman" w:cs="Times New Roman"/>
        </w:rPr>
        <w:t xml:space="preserve"> upon the loss </w:t>
      </w:r>
      <w:r w:rsidR="000D409B">
        <w:rPr>
          <w:rFonts w:ascii="Times New Roman" w:hAnsi="Times New Roman" w:cs="Times New Roman"/>
        </w:rPr>
        <w:t xml:space="preserve">of </w:t>
      </w:r>
      <w:r w:rsidR="007307A4">
        <w:rPr>
          <w:rFonts w:ascii="Times New Roman" w:hAnsi="Times New Roman" w:cs="Times New Roman"/>
        </w:rPr>
        <w:t>Code Sec. 1248 shareholder status in</w:t>
      </w:r>
      <w:r w:rsidR="007F112F">
        <w:rPr>
          <w:rFonts w:ascii="Times New Roman" w:hAnsi="Times New Roman" w:cs="Times New Roman"/>
        </w:rPr>
        <w:t xml:space="preserve"> </w:t>
      </w:r>
      <w:r w:rsidR="00A51ABF">
        <w:rPr>
          <w:rFonts w:ascii="Times New Roman" w:hAnsi="Times New Roman" w:cs="Times New Roman"/>
        </w:rPr>
        <w:t>foreign-to-foreign nonrecognition transaction</w:t>
      </w:r>
      <w:r w:rsidR="007307A4">
        <w:rPr>
          <w:rFonts w:ascii="Times New Roman" w:hAnsi="Times New Roman" w:cs="Times New Roman"/>
        </w:rPr>
        <w:t>s</w:t>
      </w:r>
      <w:r w:rsidR="00A51ABF">
        <w:rPr>
          <w:rFonts w:ascii="Times New Roman" w:hAnsi="Times New Roman" w:cs="Times New Roman"/>
        </w:rPr>
        <w:t xml:space="preserve">. </w:t>
      </w:r>
      <w:r w:rsidR="004F02DB">
        <w:rPr>
          <w:rFonts w:ascii="Times New Roman" w:hAnsi="Times New Roman" w:cs="Times New Roman"/>
        </w:rPr>
        <w:t xml:space="preserve">While the provisions of the TCJA did not eliminate deferral, </w:t>
      </w:r>
      <w:r w:rsidRPr="00A93728">
        <w:rPr>
          <w:rFonts w:ascii="Times New Roman" w:hAnsi="Times New Roman" w:cs="Times New Roman"/>
        </w:rPr>
        <w:t xml:space="preserve">changes to the </w:t>
      </w:r>
      <w:r w:rsidR="006E6C34">
        <w:rPr>
          <w:rFonts w:ascii="Times New Roman" w:hAnsi="Times New Roman" w:cs="Times New Roman"/>
        </w:rPr>
        <w:t xml:space="preserve">tax law </w:t>
      </w:r>
      <w:r w:rsidR="00C6039E">
        <w:rPr>
          <w:rFonts w:ascii="Times New Roman" w:hAnsi="Times New Roman" w:cs="Times New Roman"/>
        </w:rPr>
        <w:t xml:space="preserve">since the enactment of </w:t>
      </w:r>
      <w:r w:rsidR="00F64182">
        <w:rPr>
          <w:rFonts w:ascii="Times New Roman" w:hAnsi="Times New Roman" w:cs="Times New Roman"/>
        </w:rPr>
        <w:t xml:space="preserve">Code Sec. </w:t>
      </w:r>
      <w:r w:rsidR="00C6039E">
        <w:rPr>
          <w:rFonts w:ascii="Times New Roman" w:hAnsi="Times New Roman" w:cs="Times New Roman"/>
        </w:rPr>
        <w:t>367(b)</w:t>
      </w:r>
      <w:r w:rsidRPr="00A93728">
        <w:rPr>
          <w:rFonts w:ascii="Times New Roman" w:hAnsi="Times New Roman" w:cs="Times New Roman"/>
        </w:rPr>
        <w:t>, including</w:t>
      </w:r>
      <w:r w:rsidR="004F02DB">
        <w:rPr>
          <w:rFonts w:ascii="Times New Roman" w:hAnsi="Times New Roman" w:cs="Times New Roman"/>
        </w:rPr>
        <w:t>, but not limited to the TCJA</w:t>
      </w:r>
      <w:r w:rsidR="00C6039E">
        <w:rPr>
          <w:rFonts w:ascii="Times New Roman" w:hAnsi="Times New Roman" w:cs="Times New Roman"/>
        </w:rPr>
        <w:t>,</w:t>
      </w:r>
      <w:r w:rsidRPr="00A93728">
        <w:rPr>
          <w:rFonts w:ascii="Times New Roman" w:hAnsi="Times New Roman" w:cs="Times New Roman"/>
        </w:rPr>
        <w:t xml:space="preserve"> have </w:t>
      </w:r>
      <w:r w:rsidR="006B67BE">
        <w:rPr>
          <w:rFonts w:ascii="Times New Roman" w:hAnsi="Times New Roman" w:cs="Times New Roman"/>
        </w:rPr>
        <w:t xml:space="preserve">significantly </w:t>
      </w:r>
      <w:r w:rsidR="008F0527">
        <w:rPr>
          <w:rFonts w:ascii="Times New Roman" w:hAnsi="Times New Roman" w:cs="Times New Roman"/>
        </w:rPr>
        <w:t>limited its scope</w:t>
      </w:r>
      <w:r w:rsidR="00B43036">
        <w:rPr>
          <w:rFonts w:ascii="Times New Roman" w:hAnsi="Times New Roman" w:cs="Times New Roman"/>
        </w:rPr>
        <w:t xml:space="preserve"> and its benefits, and thus also</w:t>
      </w:r>
      <w:r w:rsidR="007B4D62">
        <w:rPr>
          <w:rFonts w:ascii="Times New Roman" w:hAnsi="Times New Roman" w:cs="Times New Roman"/>
        </w:rPr>
        <w:t xml:space="preserve"> </w:t>
      </w:r>
      <w:r w:rsidR="00340FE2">
        <w:rPr>
          <w:rFonts w:ascii="Times New Roman" w:hAnsi="Times New Roman" w:cs="Times New Roman"/>
        </w:rPr>
        <w:t>the</w:t>
      </w:r>
      <w:r w:rsidR="00B43036">
        <w:rPr>
          <w:rFonts w:ascii="Times New Roman" w:hAnsi="Times New Roman" w:cs="Times New Roman"/>
        </w:rPr>
        <w:t xml:space="preserve"> importance</w:t>
      </w:r>
      <w:r w:rsidR="00340FE2">
        <w:rPr>
          <w:rFonts w:ascii="Times New Roman" w:hAnsi="Times New Roman" w:cs="Times New Roman"/>
        </w:rPr>
        <w:t xml:space="preserve"> of provisions intended to </w:t>
      </w:r>
      <w:r w:rsidR="00B43036">
        <w:rPr>
          <w:rFonts w:ascii="Times New Roman" w:hAnsi="Times New Roman" w:cs="Times New Roman"/>
        </w:rPr>
        <w:t>backstop it</w:t>
      </w:r>
      <w:r w:rsidR="00EA2EC1">
        <w:rPr>
          <w:rFonts w:ascii="Times New Roman" w:hAnsi="Times New Roman" w:cs="Times New Roman"/>
        </w:rPr>
        <w:t xml:space="preserve">. </w:t>
      </w:r>
      <w:r w:rsidR="00AC0CFC">
        <w:rPr>
          <w:rFonts w:ascii="Times New Roman" w:hAnsi="Times New Roman" w:cs="Times New Roman"/>
        </w:rPr>
        <w:t>As a result, some c</w:t>
      </w:r>
      <w:r w:rsidR="00CE4539">
        <w:rPr>
          <w:rFonts w:ascii="Times New Roman" w:hAnsi="Times New Roman" w:cs="Times New Roman"/>
        </w:rPr>
        <w:t>ommentators have</w:t>
      </w:r>
      <w:r w:rsidR="00C6039E">
        <w:rPr>
          <w:rFonts w:ascii="Times New Roman" w:hAnsi="Times New Roman" w:cs="Times New Roman"/>
        </w:rPr>
        <w:t xml:space="preserve"> suggested </w:t>
      </w:r>
      <w:r w:rsidR="00CE4539">
        <w:rPr>
          <w:rFonts w:ascii="Times New Roman" w:hAnsi="Times New Roman" w:cs="Times New Roman"/>
        </w:rPr>
        <w:t xml:space="preserve">that the </w:t>
      </w:r>
      <w:r w:rsidR="004714E0">
        <w:rPr>
          <w:rFonts w:ascii="Times New Roman" w:hAnsi="Times New Roman" w:cs="Times New Roman"/>
        </w:rPr>
        <w:t>367(b) regulations</w:t>
      </w:r>
      <w:r w:rsidR="00CE4539">
        <w:rPr>
          <w:rFonts w:ascii="Times New Roman" w:hAnsi="Times New Roman" w:cs="Times New Roman"/>
        </w:rPr>
        <w:t xml:space="preserve"> be significantly </w:t>
      </w:r>
      <w:r w:rsidR="00CE4539">
        <w:rPr>
          <w:rFonts w:ascii="Times New Roman" w:hAnsi="Times New Roman" w:cs="Times New Roman"/>
        </w:rPr>
        <w:lastRenderedPageBreak/>
        <w:t>narrowed or eliminated.</w:t>
      </w:r>
      <w:r w:rsidR="00CE4539">
        <w:rPr>
          <w:rStyle w:val="FootnoteReference"/>
          <w:rFonts w:ascii="Times New Roman" w:hAnsi="Times New Roman" w:cs="Times New Roman"/>
        </w:rPr>
        <w:footnoteReference w:id="8"/>
      </w:r>
      <w:r w:rsidR="00CE4539">
        <w:rPr>
          <w:rFonts w:ascii="Times New Roman" w:hAnsi="Times New Roman" w:cs="Times New Roman"/>
        </w:rPr>
        <w:t xml:space="preserve"> Indeed, </w:t>
      </w:r>
      <w:r w:rsidR="00182699">
        <w:rPr>
          <w:rFonts w:ascii="Times New Roman" w:hAnsi="Times New Roman" w:cs="Times New Roman"/>
        </w:rPr>
        <w:t xml:space="preserve">Treasury and the IRS </w:t>
      </w:r>
      <w:r w:rsidR="00C23B7A">
        <w:rPr>
          <w:rFonts w:ascii="Times New Roman" w:hAnsi="Times New Roman" w:cs="Times New Roman"/>
        </w:rPr>
        <w:t xml:space="preserve">have indicated that they </w:t>
      </w:r>
      <w:r w:rsidR="00CE4539">
        <w:rPr>
          <w:rFonts w:ascii="Times New Roman" w:hAnsi="Times New Roman" w:cs="Times New Roman"/>
        </w:rPr>
        <w:t xml:space="preserve">are </w:t>
      </w:r>
      <w:r w:rsidR="00182699">
        <w:rPr>
          <w:rFonts w:ascii="Times New Roman" w:hAnsi="Times New Roman" w:cs="Times New Roman"/>
        </w:rPr>
        <w:t>studying the</w:t>
      </w:r>
      <w:r w:rsidR="006E7239">
        <w:rPr>
          <w:rFonts w:ascii="Times New Roman" w:hAnsi="Times New Roman" w:cs="Times New Roman"/>
        </w:rPr>
        <w:t>se</w:t>
      </w:r>
      <w:r w:rsidR="00182699">
        <w:rPr>
          <w:rFonts w:ascii="Times New Roman" w:hAnsi="Times New Roman" w:cs="Times New Roman"/>
        </w:rPr>
        <w:t xml:space="preserve"> regulations in light of </w:t>
      </w:r>
      <w:r w:rsidR="00F85DA2">
        <w:rPr>
          <w:rFonts w:ascii="Times New Roman" w:hAnsi="Times New Roman" w:cs="Times New Roman"/>
        </w:rPr>
        <w:t xml:space="preserve">changes to the Code in </w:t>
      </w:r>
      <w:r w:rsidR="00182699">
        <w:rPr>
          <w:rFonts w:ascii="Times New Roman" w:hAnsi="Times New Roman" w:cs="Times New Roman"/>
        </w:rPr>
        <w:t>the TCJA</w:t>
      </w:r>
      <w:r w:rsidR="00F85DA2">
        <w:rPr>
          <w:rFonts w:ascii="Times New Roman" w:hAnsi="Times New Roman" w:cs="Times New Roman"/>
        </w:rPr>
        <w:t xml:space="preserve">, particularly the enactment of </w:t>
      </w:r>
      <w:r w:rsidR="003F6E6E">
        <w:rPr>
          <w:rFonts w:ascii="Times New Roman" w:hAnsi="Times New Roman" w:cs="Times New Roman"/>
        </w:rPr>
        <w:t xml:space="preserve">Code Sec. </w:t>
      </w:r>
      <w:r w:rsidR="00F85DA2">
        <w:rPr>
          <w:rFonts w:ascii="Times New Roman" w:hAnsi="Times New Roman" w:cs="Times New Roman"/>
        </w:rPr>
        <w:t>245A.</w:t>
      </w:r>
      <w:r w:rsidR="00C51162">
        <w:rPr>
          <w:rStyle w:val="FootnoteReference"/>
          <w:rFonts w:ascii="Times New Roman" w:hAnsi="Times New Roman" w:cs="Times New Roman"/>
        </w:rPr>
        <w:footnoteReference w:id="9"/>
      </w:r>
      <w:r w:rsidR="00F85DA2">
        <w:rPr>
          <w:rFonts w:ascii="Times New Roman" w:hAnsi="Times New Roman" w:cs="Times New Roman"/>
        </w:rPr>
        <w:t xml:space="preserve"> </w:t>
      </w:r>
    </w:p>
    <w:p w14:paraId="65E14C99" w14:textId="1CF26DDB" w:rsidR="00D97CF2" w:rsidRDefault="00DE480B" w:rsidP="0096648D">
      <w:pPr>
        <w:widowControl w:val="0"/>
        <w:spacing w:after="240" w:line="240" w:lineRule="auto"/>
        <w:rPr>
          <w:rFonts w:ascii="Times New Roman" w:hAnsi="Times New Roman" w:cs="Times New Roman"/>
        </w:rPr>
      </w:pPr>
      <w:r>
        <w:rPr>
          <w:rFonts w:ascii="Times New Roman" w:hAnsi="Times New Roman" w:cs="Times New Roman"/>
        </w:rPr>
        <w:t>If</w:t>
      </w:r>
      <w:r w:rsidR="008E058F">
        <w:rPr>
          <w:rFonts w:ascii="Times New Roman" w:hAnsi="Times New Roman" w:cs="Times New Roman"/>
        </w:rPr>
        <w:t xml:space="preserve"> the </w:t>
      </w:r>
      <w:r w:rsidR="004714E0">
        <w:rPr>
          <w:rFonts w:ascii="Times New Roman" w:hAnsi="Times New Roman" w:cs="Times New Roman"/>
        </w:rPr>
        <w:t>367(b) regulations</w:t>
      </w:r>
      <w:r w:rsidR="008E058F">
        <w:rPr>
          <w:rFonts w:ascii="Times New Roman" w:hAnsi="Times New Roman" w:cs="Times New Roman"/>
        </w:rPr>
        <w:t xml:space="preserve"> </w:t>
      </w:r>
      <w:r>
        <w:rPr>
          <w:rFonts w:ascii="Times New Roman" w:hAnsi="Times New Roman" w:cs="Times New Roman"/>
        </w:rPr>
        <w:t xml:space="preserve">were </w:t>
      </w:r>
      <w:r w:rsidR="008E058F">
        <w:rPr>
          <w:rFonts w:ascii="Times New Roman" w:hAnsi="Times New Roman" w:cs="Times New Roman"/>
        </w:rPr>
        <w:t xml:space="preserve">not already in existence, </w:t>
      </w:r>
      <w:r w:rsidR="004E3A8E">
        <w:rPr>
          <w:rFonts w:ascii="Times New Roman" w:hAnsi="Times New Roman" w:cs="Times New Roman"/>
        </w:rPr>
        <w:t xml:space="preserve">few would </w:t>
      </w:r>
      <w:r w:rsidR="00C23B7A">
        <w:rPr>
          <w:rFonts w:ascii="Times New Roman" w:hAnsi="Times New Roman" w:cs="Times New Roman"/>
        </w:rPr>
        <w:t>advocate that</w:t>
      </w:r>
      <w:r w:rsidR="004E3A8E">
        <w:rPr>
          <w:rFonts w:ascii="Times New Roman" w:hAnsi="Times New Roman" w:cs="Times New Roman"/>
        </w:rPr>
        <w:t xml:space="preserve"> </w:t>
      </w:r>
      <w:r w:rsidR="00BE54D9">
        <w:rPr>
          <w:rFonts w:ascii="Times New Roman" w:hAnsi="Times New Roman" w:cs="Times New Roman"/>
        </w:rPr>
        <w:t>Treasury and the IRS</w:t>
      </w:r>
      <w:r w:rsidR="00C23B7A">
        <w:rPr>
          <w:rFonts w:ascii="Times New Roman" w:hAnsi="Times New Roman" w:cs="Times New Roman"/>
        </w:rPr>
        <w:t xml:space="preserve"> add the project to its priority guidance plan. </w:t>
      </w:r>
      <w:r w:rsidR="00BE54D9">
        <w:rPr>
          <w:rFonts w:ascii="Times New Roman" w:hAnsi="Times New Roman" w:cs="Times New Roman"/>
        </w:rPr>
        <w:t xml:space="preserve">But they do exist, and therefore </w:t>
      </w:r>
      <w:r w:rsidR="006E6C34">
        <w:rPr>
          <w:rFonts w:ascii="Times New Roman" w:hAnsi="Times New Roman" w:cs="Times New Roman"/>
        </w:rPr>
        <w:t>it behooves us to</w:t>
      </w:r>
      <w:r w:rsidR="008E058F">
        <w:rPr>
          <w:rFonts w:ascii="Times New Roman" w:hAnsi="Times New Roman" w:cs="Times New Roman"/>
        </w:rPr>
        <w:t xml:space="preserve"> </w:t>
      </w:r>
      <w:r w:rsidR="009E126C">
        <w:rPr>
          <w:rFonts w:ascii="Times New Roman" w:hAnsi="Times New Roman" w:cs="Times New Roman"/>
        </w:rPr>
        <w:t xml:space="preserve">ask </w:t>
      </w:r>
      <w:r w:rsidR="008E058F">
        <w:rPr>
          <w:rFonts w:ascii="Times New Roman" w:hAnsi="Times New Roman" w:cs="Times New Roman"/>
        </w:rPr>
        <w:t xml:space="preserve">whether they </w:t>
      </w:r>
      <w:r w:rsidR="005F6F93">
        <w:rPr>
          <w:rFonts w:ascii="Times New Roman" w:hAnsi="Times New Roman" w:cs="Times New Roman"/>
        </w:rPr>
        <w:t>remain</w:t>
      </w:r>
      <w:r w:rsidR="008F0507">
        <w:rPr>
          <w:rFonts w:ascii="Times New Roman" w:hAnsi="Times New Roman" w:cs="Times New Roman"/>
        </w:rPr>
        <w:t xml:space="preserve"> fit for purpose</w:t>
      </w:r>
      <w:r w:rsidR="00916BA0">
        <w:rPr>
          <w:rFonts w:ascii="Times New Roman" w:hAnsi="Times New Roman" w:cs="Times New Roman"/>
        </w:rPr>
        <w:t xml:space="preserve">. </w:t>
      </w:r>
      <w:r w:rsidR="00925CE4">
        <w:rPr>
          <w:rFonts w:ascii="Times New Roman" w:hAnsi="Times New Roman" w:cs="Times New Roman"/>
        </w:rPr>
        <w:t>To do this</w:t>
      </w:r>
      <w:r w:rsidR="00D97CF2">
        <w:rPr>
          <w:rFonts w:ascii="Times New Roman" w:hAnsi="Times New Roman" w:cs="Times New Roman"/>
        </w:rPr>
        <w:t xml:space="preserve">, we </w:t>
      </w:r>
      <w:r w:rsidR="00925CE4">
        <w:rPr>
          <w:rFonts w:ascii="Times New Roman" w:hAnsi="Times New Roman" w:cs="Times New Roman"/>
        </w:rPr>
        <w:t>must</w:t>
      </w:r>
      <w:r w:rsidR="00D97CF2">
        <w:rPr>
          <w:rFonts w:ascii="Times New Roman" w:hAnsi="Times New Roman" w:cs="Times New Roman"/>
        </w:rPr>
        <w:t xml:space="preserve"> </w:t>
      </w:r>
      <w:r w:rsidR="007D7E67">
        <w:rPr>
          <w:rFonts w:ascii="Times New Roman" w:hAnsi="Times New Roman" w:cs="Times New Roman"/>
        </w:rPr>
        <w:t>review</w:t>
      </w:r>
      <w:r w:rsidR="002A497B">
        <w:rPr>
          <w:rFonts w:ascii="Times New Roman" w:hAnsi="Times New Roman" w:cs="Times New Roman"/>
        </w:rPr>
        <w:t xml:space="preserve"> the</w:t>
      </w:r>
      <w:r w:rsidR="006E6C34">
        <w:rPr>
          <w:rFonts w:ascii="Times New Roman" w:hAnsi="Times New Roman" w:cs="Times New Roman"/>
        </w:rPr>
        <w:t xml:space="preserve"> history,</w:t>
      </w:r>
      <w:r w:rsidR="002A497B">
        <w:rPr>
          <w:rFonts w:ascii="Times New Roman" w:hAnsi="Times New Roman" w:cs="Times New Roman"/>
        </w:rPr>
        <w:t xml:space="preserve"> </w:t>
      </w:r>
      <w:r w:rsidR="004E3A8E">
        <w:rPr>
          <w:rFonts w:ascii="Times New Roman" w:hAnsi="Times New Roman" w:cs="Times New Roman"/>
        </w:rPr>
        <w:t>law</w:t>
      </w:r>
      <w:r w:rsidR="00F522B7">
        <w:rPr>
          <w:rFonts w:ascii="Times New Roman" w:hAnsi="Times New Roman" w:cs="Times New Roman"/>
        </w:rPr>
        <w:t>,</w:t>
      </w:r>
      <w:r w:rsidR="004E3A8E">
        <w:rPr>
          <w:rFonts w:ascii="Times New Roman" w:hAnsi="Times New Roman" w:cs="Times New Roman"/>
        </w:rPr>
        <w:t xml:space="preserve"> and </w:t>
      </w:r>
      <w:r w:rsidR="007D7E67">
        <w:rPr>
          <w:rFonts w:ascii="Times New Roman" w:hAnsi="Times New Roman" w:cs="Times New Roman"/>
        </w:rPr>
        <w:t xml:space="preserve">principles </w:t>
      </w:r>
      <w:r w:rsidR="003333D8">
        <w:rPr>
          <w:rFonts w:ascii="Times New Roman" w:hAnsi="Times New Roman" w:cs="Times New Roman"/>
        </w:rPr>
        <w:t xml:space="preserve">underlying </w:t>
      </w:r>
      <w:r w:rsidR="008F0507">
        <w:rPr>
          <w:rFonts w:ascii="Times New Roman" w:hAnsi="Times New Roman" w:cs="Times New Roman"/>
        </w:rPr>
        <w:t xml:space="preserve">Code Sec. 367(b) and </w:t>
      </w:r>
      <w:r w:rsidR="003333D8">
        <w:rPr>
          <w:rFonts w:ascii="Times New Roman" w:hAnsi="Times New Roman" w:cs="Times New Roman"/>
        </w:rPr>
        <w:t xml:space="preserve">the </w:t>
      </w:r>
      <w:r w:rsidR="00965028">
        <w:rPr>
          <w:rFonts w:ascii="Times New Roman" w:hAnsi="Times New Roman" w:cs="Times New Roman"/>
        </w:rPr>
        <w:t>regulations</w:t>
      </w:r>
      <w:r w:rsidR="004714E0">
        <w:rPr>
          <w:rFonts w:ascii="Times New Roman" w:hAnsi="Times New Roman" w:cs="Times New Roman"/>
        </w:rPr>
        <w:t xml:space="preserve"> thereunder</w:t>
      </w:r>
      <w:r w:rsidR="007A3626">
        <w:rPr>
          <w:rFonts w:ascii="Times New Roman" w:hAnsi="Times New Roman" w:cs="Times New Roman"/>
        </w:rPr>
        <w:t xml:space="preserve">, </w:t>
      </w:r>
      <w:r w:rsidR="00EC0C62">
        <w:rPr>
          <w:rFonts w:ascii="Times New Roman" w:hAnsi="Times New Roman" w:cs="Times New Roman"/>
        </w:rPr>
        <w:t>a</w:t>
      </w:r>
      <w:r w:rsidR="00AD6322">
        <w:rPr>
          <w:rFonts w:ascii="Times New Roman" w:hAnsi="Times New Roman" w:cs="Times New Roman"/>
        </w:rPr>
        <w:t xml:space="preserve">s well as </w:t>
      </w:r>
      <w:r w:rsidR="00254E80">
        <w:rPr>
          <w:rFonts w:ascii="Times New Roman" w:hAnsi="Times New Roman" w:cs="Times New Roman"/>
        </w:rPr>
        <w:t xml:space="preserve">the many </w:t>
      </w:r>
      <w:r w:rsidR="00EC0C62">
        <w:rPr>
          <w:rFonts w:ascii="Times New Roman" w:hAnsi="Times New Roman" w:cs="Times New Roman"/>
        </w:rPr>
        <w:t>statutory and regulatory developments</w:t>
      </w:r>
      <w:r w:rsidR="00254E80">
        <w:rPr>
          <w:rFonts w:ascii="Times New Roman" w:hAnsi="Times New Roman" w:cs="Times New Roman"/>
        </w:rPr>
        <w:t xml:space="preserve"> that impact the efficacy of these regulations</w:t>
      </w:r>
      <w:r w:rsidR="00EC0C62">
        <w:rPr>
          <w:rFonts w:ascii="Times New Roman" w:hAnsi="Times New Roman" w:cs="Times New Roman"/>
        </w:rPr>
        <w:t>.</w:t>
      </w:r>
    </w:p>
    <w:p w14:paraId="165A16D9" w14:textId="2A6012F7" w:rsidR="0060342B" w:rsidRPr="00D21C4C" w:rsidRDefault="00B06A81" w:rsidP="0096648D">
      <w:pPr>
        <w:widowControl w:val="0"/>
        <w:spacing w:after="240" w:line="240" w:lineRule="auto"/>
        <w:rPr>
          <w:rFonts w:ascii="Times New Roman" w:hAnsi="Times New Roman" w:cs="Times New Roman"/>
        </w:rPr>
      </w:pPr>
      <w:r>
        <w:rPr>
          <w:rFonts w:ascii="Times New Roman" w:hAnsi="Times New Roman" w:cs="Times New Roman"/>
        </w:rPr>
        <w:t>Part II</w:t>
      </w:r>
      <w:r w:rsidR="004F78DC">
        <w:rPr>
          <w:rFonts w:ascii="Times New Roman" w:hAnsi="Times New Roman" w:cs="Times New Roman"/>
        </w:rPr>
        <w:t xml:space="preserve"> of this report </w:t>
      </w:r>
      <w:r w:rsidR="004D21FA">
        <w:rPr>
          <w:rFonts w:ascii="Times New Roman" w:hAnsi="Times New Roman" w:cs="Times New Roman"/>
        </w:rPr>
        <w:t>traces</w:t>
      </w:r>
      <w:r w:rsidR="000B3146">
        <w:rPr>
          <w:rFonts w:ascii="Times New Roman" w:hAnsi="Times New Roman" w:cs="Times New Roman"/>
        </w:rPr>
        <w:t xml:space="preserve"> the evolution of </w:t>
      </w:r>
      <w:r w:rsidR="00B94CD0">
        <w:rPr>
          <w:rFonts w:ascii="Times New Roman" w:hAnsi="Times New Roman" w:cs="Times New Roman"/>
        </w:rPr>
        <w:t xml:space="preserve">rules of </w:t>
      </w:r>
      <w:r w:rsidR="000B3146">
        <w:rPr>
          <w:rFonts w:ascii="Times New Roman" w:hAnsi="Times New Roman" w:cs="Times New Roman"/>
        </w:rPr>
        <w:t>Code</w:t>
      </w:r>
      <w:r w:rsidR="002236B6">
        <w:rPr>
          <w:rFonts w:ascii="Times New Roman" w:hAnsi="Times New Roman" w:cs="Times New Roman"/>
        </w:rPr>
        <w:t xml:space="preserve"> Sec. 367(b)</w:t>
      </w:r>
      <w:r w:rsidR="00D82430">
        <w:rPr>
          <w:rFonts w:ascii="Times New Roman" w:hAnsi="Times New Roman" w:cs="Times New Roman"/>
        </w:rPr>
        <w:t xml:space="preserve"> from </w:t>
      </w:r>
      <w:r w:rsidR="00B27229">
        <w:rPr>
          <w:rFonts w:ascii="Times New Roman" w:hAnsi="Times New Roman" w:cs="Times New Roman"/>
        </w:rPr>
        <w:t xml:space="preserve">the </w:t>
      </w:r>
      <w:r w:rsidR="00B94CD0">
        <w:rPr>
          <w:rFonts w:ascii="Times New Roman" w:hAnsi="Times New Roman" w:cs="Times New Roman"/>
        </w:rPr>
        <w:t xml:space="preserve">enactment of its statutory </w:t>
      </w:r>
      <w:r w:rsidR="00B923FC">
        <w:rPr>
          <w:rFonts w:ascii="Times New Roman" w:hAnsi="Times New Roman" w:cs="Times New Roman"/>
        </w:rPr>
        <w:t>predecessor</w:t>
      </w:r>
      <w:r w:rsidR="00B94CD0">
        <w:rPr>
          <w:rFonts w:ascii="Times New Roman" w:hAnsi="Times New Roman" w:cs="Times New Roman"/>
        </w:rPr>
        <w:t xml:space="preserve"> </w:t>
      </w:r>
      <w:r w:rsidR="00FA546B">
        <w:rPr>
          <w:rFonts w:ascii="Times New Roman" w:hAnsi="Times New Roman" w:cs="Times New Roman"/>
        </w:rPr>
        <w:t xml:space="preserve">to </w:t>
      </w:r>
      <w:r w:rsidR="00370D3C">
        <w:rPr>
          <w:rFonts w:ascii="Times New Roman" w:hAnsi="Times New Roman" w:cs="Times New Roman"/>
        </w:rPr>
        <w:t xml:space="preserve">the </w:t>
      </w:r>
      <w:r w:rsidR="000C2CAC">
        <w:rPr>
          <w:rFonts w:ascii="Times New Roman" w:hAnsi="Times New Roman" w:cs="Times New Roman"/>
        </w:rPr>
        <w:t>issuance of</w:t>
      </w:r>
      <w:r w:rsidR="00FA546B">
        <w:rPr>
          <w:rFonts w:ascii="Times New Roman" w:hAnsi="Times New Roman" w:cs="Times New Roman"/>
        </w:rPr>
        <w:t xml:space="preserve"> </w:t>
      </w:r>
      <w:r w:rsidR="00370D3C">
        <w:rPr>
          <w:rFonts w:ascii="Times New Roman" w:hAnsi="Times New Roman" w:cs="Times New Roman"/>
        </w:rPr>
        <w:t xml:space="preserve">the </w:t>
      </w:r>
      <w:r w:rsidR="00E97756">
        <w:rPr>
          <w:rFonts w:ascii="Times New Roman" w:hAnsi="Times New Roman" w:cs="Times New Roman"/>
        </w:rPr>
        <w:t xml:space="preserve">final </w:t>
      </w:r>
      <w:r w:rsidR="004714E0">
        <w:rPr>
          <w:rFonts w:ascii="Times New Roman" w:hAnsi="Times New Roman" w:cs="Times New Roman"/>
        </w:rPr>
        <w:t>367(b) regulations</w:t>
      </w:r>
      <w:r w:rsidR="00340936">
        <w:rPr>
          <w:rFonts w:ascii="Times New Roman" w:hAnsi="Times New Roman" w:cs="Times New Roman"/>
        </w:rPr>
        <w:t xml:space="preserve">. Part III </w:t>
      </w:r>
      <w:r w:rsidR="0046479C">
        <w:rPr>
          <w:rFonts w:ascii="Times New Roman" w:hAnsi="Times New Roman" w:cs="Times New Roman"/>
        </w:rPr>
        <w:t xml:space="preserve">continues with a discussion </w:t>
      </w:r>
      <w:r w:rsidR="002013E2">
        <w:rPr>
          <w:rFonts w:ascii="Times New Roman" w:hAnsi="Times New Roman" w:cs="Times New Roman"/>
        </w:rPr>
        <w:t>of the current regulations and the recent developments</w:t>
      </w:r>
      <w:r w:rsidR="00BA1558">
        <w:rPr>
          <w:rFonts w:ascii="Times New Roman" w:hAnsi="Times New Roman" w:cs="Times New Roman"/>
        </w:rPr>
        <w:t>, including</w:t>
      </w:r>
      <w:r w:rsidR="00FA110F">
        <w:rPr>
          <w:rFonts w:ascii="Times New Roman" w:hAnsi="Times New Roman" w:cs="Times New Roman"/>
        </w:rPr>
        <w:t xml:space="preserve"> the</w:t>
      </w:r>
      <w:r w:rsidR="00BA1558">
        <w:rPr>
          <w:rFonts w:ascii="Times New Roman" w:hAnsi="Times New Roman" w:cs="Times New Roman"/>
        </w:rPr>
        <w:t xml:space="preserve"> TJCA,</w:t>
      </w:r>
      <w:r w:rsidR="002013E2">
        <w:rPr>
          <w:rFonts w:ascii="Times New Roman" w:hAnsi="Times New Roman" w:cs="Times New Roman"/>
        </w:rPr>
        <w:t xml:space="preserve"> that have impacted their effectiveness to achieve their stated goals</w:t>
      </w:r>
      <w:r w:rsidR="00BA1558">
        <w:rPr>
          <w:rFonts w:ascii="Times New Roman" w:hAnsi="Times New Roman" w:cs="Times New Roman"/>
        </w:rPr>
        <w:t>. In this discussion, we focus on the</w:t>
      </w:r>
      <w:r w:rsidR="000412AF">
        <w:rPr>
          <w:rFonts w:ascii="Times New Roman" w:hAnsi="Times New Roman" w:cs="Times New Roman"/>
        </w:rPr>
        <w:t xml:space="preserve"> core operative rules in Reg. §1.367(b)-3 (“</w:t>
      </w:r>
      <w:r w:rsidR="000412AF">
        <w:rPr>
          <w:rFonts w:ascii="Times New Roman" w:hAnsi="Times New Roman" w:cs="Times New Roman"/>
          <w:b/>
          <w:bCs/>
        </w:rPr>
        <w:t>B3</w:t>
      </w:r>
      <w:r w:rsidR="000412AF">
        <w:rPr>
          <w:rFonts w:ascii="Times New Roman" w:hAnsi="Times New Roman" w:cs="Times New Roman"/>
        </w:rPr>
        <w:t>”), relating to inbound nonrecognition transactions, and Reg. §1.367(b)-4 (“</w:t>
      </w:r>
      <w:r w:rsidR="000412AF">
        <w:rPr>
          <w:rFonts w:ascii="Times New Roman" w:hAnsi="Times New Roman" w:cs="Times New Roman"/>
          <w:b/>
          <w:bCs/>
        </w:rPr>
        <w:t>B4</w:t>
      </w:r>
      <w:r w:rsidR="000412AF">
        <w:rPr>
          <w:rFonts w:ascii="Times New Roman" w:hAnsi="Times New Roman" w:cs="Times New Roman"/>
        </w:rPr>
        <w:t xml:space="preserve">”), relating to </w:t>
      </w:r>
      <w:r w:rsidR="00A80AAA">
        <w:rPr>
          <w:rFonts w:ascii="Times New Roman" w:hAnsi="Times New Roman" w:cs="Times New Roman"/>
        </w:rPr>
        <w:t>foreign-to-foreign nonrecognition transactions</w:t>
      </w:r>
      <w:r w:rsidR="005A052A">
        <w:rPr>
          <w:rFonts w:ascii="Times New Roman" w:hAnsi="Times New Roman" w:cs="Times New Roman"/>
        </w:rPr>
        <w:t>.</w:t>
      </w:r>
      <w:r w:rsidR="00A5108A">
        <w:rPr>
          <w:rFonts w:ascii="Times New Roman" w:hAnsi="Times New Roman" w:cs="Times New Roman"/>
        </w:rPr>
        <w:t xml:space="preserve"> </w:t>
      </w:r>
      <w:r w:rsidR="00FA110F">
        <w:rPr>
          <w:rFonts w:ascii="Times New Roman" w:hAnsi="Times New Roman" w:cs="Times New Roman"/>
        </w:rPr>
        <w:t xml:space="preserve">In </w:t>
      </w:r>
      <w:r w:rsidR="000A28A5">
        <w:rPr>
          <w:rFonts w:ascii="Times New Roman" w:hAnsi="Times New Roman" w:cs="Times New Roman"/>
        </w:rPr>
        <w:t>Part IV, we</w:t>
      </w:r>
      <w:r w:rsidR="00AD5B99">
        <w:rPr>
          <w:rFonts w:ascii="Times New Roman" w:hAnsi="Times New Roman" w:cs="Times New Roman"/>
        </w:rPr>
        <w:t xml:space="preserve"> consider </w:t>
      </w:r>
      <w:r w:rsidR="00DE325D">
        <w:rPr>
          <w:rFonts w:ascii="Times New Roman" w:hAnsi="Times New Roman" w:cs="Times New Roman"/>
        </w:rPr>
        <w:t xml:space="preserve">approaches </w:t>
      </w:r>
      <w:r w:rsidR="002F73F6">
        <w:rPr>
          <w:rFonts w:ascii="Times New Roman" w:hAnsi="Times New Roman" w:cs="Times New Roman"/>
        </w:rPr>
        <w:t>that</w:t>
      </w:r>
      <w:r w:rsidR="00DE325D">
        <w:rPr>
          <w:rFonts w:ascii="Times New Roman" w:hAnsi="Times New Roman" w:cs="Times New Roman"/>
        </w:rPr>
        <w:t xml:space="preserve"> Treasury and the IRS </w:t>
      </w:r>
      <w:r w:rsidR="00FA110F">
        <w:rPr>
          <w:rFonts w:ascii="Times New Roman" w:hAnsi="Times New Roman" w:cs="Times New Roman"/>
        </w:rPr>
        <w:t>should consider to</w:t>
      </w:r>
      <w:r w:rsidR="00F62C94">
        <w:rPr>
          <w:rFonts w:ascii="Times New Roman" w:hAnsi="Times New Roman" w:cs="Times New Roman"/>
        </w:rPr>
        <w:t xml:space="preserve"> better align</w:t>
      </w:r>
      <w:r w:rsidR="00AD5B99">
        <w:rPr>
          <w:rFonts w:ascii="Times New Roman" w:hAnsi="Times New Roman" w:cs="Times New Roman"/>
        </w:rPr>
        <w:t xml:space="preserve"> </w:t>
      </w:r>
      <w:r w:rsidR="005A052A">
        <w:rPr>
          <w:rFonts w:ascii="Times New Roman" w:hAnsi="Times New Roman" w:cs="Times New Roman"/>
        </w:rPr>
        <w:t>these rules</w:t>
      </w:r>
      <w:r w:rsidR="00AD5B99">
        <w:rPr>
          <w:rFonts w:ascii="Times New Roman" w:hAnsi="Times New Roman" w:cs="Times New Roman"/>
        </w:rPr>
        <w:t xml:space="preserve"> to</w:t>
      </w:r>
      <w:r w:rsidR="00F6126E">
        <w:rPr>
          <w:rFonts w:ascii="Times New Roman" w:hAnsi="Times New Roman" w:cs="Times New Roman"/>
        </w:rPr>
        <w:t xml:space="preserve"> the</w:t>
      </w:r>
      <w:r w:rsidR="00CF1B46">
        <w:rPr>
          <w:rFonts w:ascii="Times New Roman" w:hAnsi="Times New Roman" w:cs="Times New Roman"/>
        </w:rPr>
        <w:t xml:space="preserve"> post-TCJA</w:t>
      </w:r>
      <w:r w:rsidR="00F6126E">
        <w:rPr>
          <w:rFonts w:ascii="Times New Roman" w:hAnsi="Times New Roman" w:cs="Times New Roman"/>
        </w:rPr>
        <w:t xml:space="preserve"> U.S. international ta</w:t>
      </w:r>
      <w:r w:rsidR="00F522B7">
        <w:rPr>
          <w:rFonts w:ascii="Times New Roman" w:hAnsi="Times New Roman" w:cs="Times New Roman"/>
        </w:rPr>
        <w:t>x</w:t>
      </w:r>
      <w:r w:rsidR="00F6126E">
        <w:rPr>
          <w:rFonts w:ascii="Times New Roman" w:hAnsi="Times New Roman" w:cs="Times New Roman"/>
        </w:rPr>
        <w:t xml:space="preserve"> system</w:t>
      </w:r>
      <w:r w:rsidR="003223E4">
        <w:rPr>
          <w:rFonts w:ascii="Times New Roman" w:hAnsi="Times New Roman" w:cs="Times New Roman"/>
        </w:rPr>
        <w:t>.</w:t>
      </w:r>
      <w:r w:rsidR="00FA110F">
        <w:rPr>
          <w:rFonts w:ascii="Times New Roman" w:hAnsi="Times New Roman" w:cs="Times New Roman"/>
        </w:rPr>
        <w:t xml:space="preserve"> </w:t>
      </w:r>
      <w:r w:rsidR="00A32057">
        <w:rPr>
          <w:rFonts w:ascii="Times New Roman" w:hAnsi="Times New Roman" w:cs="Times New Roman"/>
        </w:rPr>
        <w:t xml:space="preserve">In </w:t>
      </w:r>
      <w:r w:rsidR="00FA110F">
        <w:rPr>
          <w:rFonts w:ascii="Times New Roman" w:hAnsi="Times New Roman" w:cs="Times New Roman"/>
        </w:rPr>
        <w:t>Part V</w:t>
      </w:r>
      <w:r w:rsidR="00A32057">
        <w:rPr>
          <w:rFonts w:ascii="Times New Roman" w:hAnsi="Times New Roman" w:cs="Times New Roman"/>
        </w:rPr>
        <w:t xml:space="preserve">, we conclude with </w:t>
      </w:r>
      <w:r w:rsidR="00F635E6">
        <w:rPr>
          <w:rFonts w:ascii="Times New Roman" w:hAnsi="Times New Roman" w:cs="Times New Roman"/>
        </w:rPr>
        <w:t>a closing thought</w:t>
      </w:r>
      <w:r w:rsidR="00FA110F">
        <w:rPr>
          <w:rFonts w:ascii="Times New Roman" w:hAnsi="Times New Roman" w:cs="Times New Roman"/>
        </w:rPr>
        <w:t>.</w:t>
      </w:r>
    </w:p>
    <w:p w14:paraId="48340E79" w14:textId="5D309D04" w:rsidR="00DF508C" w:rsidRPr="00052070" w:rsidRDefault="000F7844" w:rsidP="0096648D">
      <w:pPr>
        <w:pStyle w:val="Heading2"/>
        <w:widowControl w:val="0"/>
      </w:pPr>
      <w:r>
        <w:t>How Did We Get Here?</w:t>
      </w:r>
    </w:p>
    <w:p w14:paraId="179E10ED" w14:textId="306A24E8" w:rsidR="0030655B" w:rsidRDefault="008C6358" w:rsidP="0096648D">
      <w:pPr>
        <w:pStyle w:val="Heading3"/>
        <w:keepNext w:val="0"/>
        <w:keepLines w:val="0"/>
        <w:widowControl w:val="0"/>
      </w:pPr>
      <w:r>
        <w:t>Deferral</w:t>
      </w:r>
    </w:p>
    <w:p w14:paraId="664B3E88" w14:textId="4195A06B" w:rsidR="005258A1" w:rsidRDefault="00AE1C9C" w:rsidP="0096648D">
      <w:pPr>
        <w:widowControl w:val="0"/>
        <w:spacing w:after="240" w:line="240" w:lineRule="auto"/>
        <w:rPr>
          <w:rFonts w:ascii="Times New Roman" w:hAnsi="Times New Roman" w:cs="Times New Roman"/>
        </w:rPr>
      </w:pPr>
      <w:r>
        <w:rPr>
          <w:rFonts w:ascii="Times New Roman" w:hAnsi="Times New Roman" w:cs="Times New Roman"/>
        </w:rPr>
        <w:t xml:space="preserve">A U.S. taxpayer </w:t>
      </w:r>
      <w:r w:rsidR="00CD20A6" w:rsidRPr="005D6F11">
        <w:rPr>
          <w:rFonts w:ascii="Times New Roman" w:hAnsi="Times New Roman" w:cs="Times New Roman"/>
        </w:rPr>
        <w:t xml:space="preserve">generally must pay </w:t>
      </w:r>
      <w:r w:rsidR="0073715B">
        <w:rPr>
          <w:rFonts w:ascii="Times New Roman" w:hAnsi="Times New Roman" w:cs="Times New Roman"/>
        </w:rPr>
        <w:t>F</w:t>
      </w:r>
      <w:r w:rsidR="00CD20A6" w:rsidRPr="005D6F11">
        <w:rPr>
          <w:rFonts w:ascii="Times New Roman" w:hAnsi="Times New Roman" w:cs="Times New Roman"/>
        </w:rPr>
        <w:t>ederal income taxes on</w:t>
      </w:r>
      <w:r>
        <w:rPr>
          <w:rFonts w:ascii="Times New Roman" w:hAnsi="Times New Roman" w:cs="Times New Roman"/>
        </w:rPr>
        <w:t xml:space="preserve"> its worldwide</w:t>
      </w:r>
      <w:r w:rsidR="00CD20A6" w:rsidRPr="005D6F11">
        <w:rPr>
          <w:rFonts w:ascii="Times New Roman" w:hAnsi="Times New Roman" w:cs="Times New Roman"/>
        </w:rPr>
        <w:t xml:space="preserve"> income</w:t>
      </w:r>
      <w:r>
        <w:rPr>
          <w:rFonts w:ascii="Times New Roman" w:hAnsi="Times New Roman" w:cs="Times New Roman"/>
        </w:rPr>
        <w:t>, whether</w:t>
      </w:r>
      <w:r w:rsidR="00CD20A6" w:rsidRPr="005D6F11">
        <w:rPr>
          <w:rFonts w:ascii="Times New Roman" w:hAnsi="Times New Roman" w:cs="Times New Roman"/>
        </w:rPr>
        <w:t xml:space="preserve"> earned in the </w:t>
      </w:r>
      <w:r w:rsidR="00CD35D1">
        <w:rPr>
          <w:rFonts w:ascii="Times New Roman" w:hAnsi="Times New Roman" w:cs="Times New Roman"/>
        </w:rPr>
        <w:t>United States</w:t>
      </w:r>
      <w:r w:rsidR="00CD20A6" w:rsidRPr="005D6F11">
        <w:rPr>
          <w:rFonts w:ascii="Times New Roman" w:hAnsi="Times New Roman" w:cs="Times New Roman"/>
        </w:rPr>
        <w:t xml:space="preserve"> </w:t>
      </w:r>
      <w:r>
        <w:rPr>
          <w:rFonts w:ascii="Times New Roman" w:hAnsi="Times New Roman" w:cs="Times New Roman"/>
        </w:rPr>
        <w:t>or</w:t>
      </w:r>
      <w:r w:rsidRPr="005D6F11">
        <w:rPr>
          <w:rFonts w:ascii="Times New Roman" w:hAnsi="Times New Roman" w:cs="Times New Roman"/>
        </w:rPr>
        <w:t xml:space="preserve"> </w:t>
      </w:r>
      <w:r w:rsidR="00CD20A6" w:rsidRPr="005D6F11">
        <w:rPr>
          <w:rFonts w:ascii="Times New Roman" w:hAnsi="Times New Roman" w:cs="Times New Roman"/>
        </w:rPr>
        <w:t xml:space="preserve">abroad. However, </w:t>
      </w:r>
      <w:r w:rsidR="00077901">
        <w:rPr>
          <w:rFonts w:ascii="Times New Roman" w:hAnsi="Times New Roman" w:cs="Times New Roman"/>
        </w:rPr>
        <w:t xml:space="preserve">a foreign subsidiary of a taxpayer is </w:t>
      </w:r>
      <w:r w:rsidR="00D511E8">
        <w:rPr>
          <w:rFonts w:ascii="Times New Roman" w:hAnsi="Times New Roman" w:cs="Times New Roman"/>
        </w:rPr>
        <w:t>generally treated as a separate person for tax purposes.</w:t>
      </w:r>
      <w:r w:rsidR="00CF1B46">
        <w:rPr>
          <w:rStyle w:val="FootnoteReference"/>
          <w:rFonts w:ascii="Times New Roman" w:hAnsi="Times New Roman" w:cs="Times New Roman"/>
        </w:rPr>
        <w:footnoteReference w:id="10"/>
      </w:r>
      <w:r w:rsidR="00CF1B46">
        <w:rPr>
          <w:rFonts w:ascii="Times New Roman" w:hAnsi="Times New Roman" w:cs="Times New Roman"/>
        </w:rPr>
        <w:t xml:space="preserve"> </w:t>
      </w:r>
      <w:r w:rsidR="00EB5F3D">
        <w:rPr>
          <w:rFonts w:ascii="Times New Roman" w:hAnsi="Times New Roman" w:cs="Times New Roman"/>
        </w:rPr>
        <w:t xml:space="preserve">Prior to 1962, </w:t>
      </w:r>
      <w:r w:rsidR="00D511E8">
        <w:rPr>
          <w:rFonts w:ascii="Times New Roman" w:hAnsi="Times New Roman" w:cs="Times New Roman"/>
        </w:rPr>
        <w:t>the United States did not generally impose tax</w:t>
      </w:r>
      <w:r w:rsidR="008E74BB">
        <w:rPr>
          <w:rFonts w:ascii="Times New Roman" w:hAnsi="Times New Roman" w:cs="Times New Roman"/>
        </w:rPr>
        <w:t xml:space="preserve"> on</w:t>
      </w:r>
      <w:r w:rsidR="00D511E8">
        <w:rPr>
          <w:rFonts w:ascii="Times New Roman" w:hAnsi="Times New Roman" w:cs="Times New Roman"/>
        </w:rPr>
        <w:t xml:space="preserve"> the</w:t>
      </w:r>
      <w:r w:rsidR="008E74BB">
        <w:rPr>
          <w:rFonts w:ascii="Times New Roman" w:hAnsi="Times New Roman" w:cs="Times New Roman"/>
        </w:rPr>
        <w:t xml:space="preserve"> foreign</w:t>
      </w:r>
      <w:r w:rsidR="00D511E8">
        <w:rPr>
          <w:rFonts w:ascii="Times New Roman" w:hAnsi="Times New Roman" w:cs="Times New Roman"/>
        </w:rPr>
        <w:t>-</w:t>
      </w:r>
      <w:r w:rsidR="008E74BB">
        <w:rPr>
          <w:rFonts w:ascii="Times New Roman" w:hAnsi="Times New Roman" w:cs="Times New Roman"/>
        </w:rPr>
        <w:t>source income</w:t>
      </w:r>
      <w:r w:rsidR="00BD3A8C">
        <w:rPr>
          <w:rFonts w:ascii="Times New Roman" w:hAnsi="Times New Roman" w:cs="Times New Roman"/>
        </w:rPr>
        <w:t xml:space="preserve"> </w:t>
      </w:r>
      <w:r w:rsidR="00D511E8">
        <w:rPr>
          <w:rFonts w:ascii="Times New Roman" w:hAnsi="Times New Roman" w:cs="Times New Roman"/>
        </w:rPr>
        <w:t>of a foreign</w:t>
      </w:r>
      <w:r w:rsidR="00F74882">
        <w:rPr>
          <w:rFonts w:ascii="Times New Roman" w:hAnsi="Times New Roman" w:cs="Times New Roman"/>
        </w:rPr>
        <w:t xml:space="preserve"> subsidiar</w:t>
      </w:r>
      <w:r w:rsidR="001B1691">
        <w:rPr>
          <w:rFonts w:ascii="Times New Roman" w:hAnsi="Times New Roman" w:cs="Times New Roman"/>
        </w:rPr>
        <w:t xml:space="preserve">y </w:t>
      </w:r>
      <w:r w:rsidR="00BD3A8C">
        <w:rPr>
          <w:rFonts w:ascii="Times New Roman" w:hAnsi="Times New Roman" w:cs="Times New Roman"/>
        </w:rPr>
        <w:t xml:space="preserve">until earnings were paid to </w:t>
      </w:r>
      <w:r w:rsidR="00F74882">
        <w:rPr>
          <w:rFonts w:ascii="Times New Roman" w:hAnsi="Times New Roman" w:cs="Times New Roman"/>
        </w:rPr>
        <w:t xml:space="preserve">its </w:t>
      </w:r>
      <w:r w:rsidR="00F112DE">
        <w:rPr>
          <w:rFonts w:ascii="Times New Roman" w:hAnsi="Times New Roman" w:cs="Times New Roman"/>
        </w:rPr>
        <w:t xml:space="preserve">U.S. shareholders </w:t>
      </w:r>
      <w:r w:rsidR="00BD3A8C">
        <w:rPr>
          <w:rFonts w:ascii="Times New Roman" w:hAnsi="Times New Roman" w:cs="Times New Roman"/>
        </w:rPr>
        <w:t>as a dividend</w:t>
      </w:r>
      <w:r w:rsidR="008E74BB">
        <w:rPr>
          <w:rFonts w:ascii="Times New Roman" w:hAnsi="Times New Roman" w:cs="Times New Roman"/>
        </w:rPr>
        <w:t>.</w:t>
      </w:r>
      <w:r w:rsidR="00BD3A8C">
        <w:rPr>
          <w:rFonts w:ascii="Times New Roman" w:hAnsi="Times New Roman" w:cs="Times New Roman"/>
        </w:rPr>
        <w:t xml:space="preserve"> </w:t>
      </w:r>
      <w:r w:rsidR="000459B2">
        <w:rPr>
          <w:rFonts w:ascii="Times New Roman" w:hAnsi="Times New Roman" w:cs="Times New Roman"/>
        </w:rPr>
        <w:t>However, a dividend out of this untaxed E&amp;P</w:t>
      </w:r>
      <w:r w:rsidR="006373D7">
        <w:rPr>
          <w:rFonts w:ascii="Times New Roman" w:hAnsi="Times New Roman" w:cs="Times New Roman"/>
        </w:rPr>
        <w:t xml:space="preserve">, when </w:t>
      </w:r>
      <w:r w:rsidR="000459B2">
        <w:rPr>
          <w:rFonts w:ascii="Times New Roman" w:hAnsi="Times New Roman" w:cs="Times New Roman"/>
        </w:rPr>
        <w:t xml:space="preserve">eventually </w:t>
      </w:r>
      <w:r w:rsidR="006373D7">
        <w:rPr>
          <w:rFonts w:ascii="Times New Roman" w:hAnsi="Times New Roman" w:cs="Times New Roman"/>
        </w:rPr>
        <w:t xml:space="preserve">paid, </w:t>
      </w:r>
      <w:r w:rsidR="003E02EA">
        <w:rPr>
          <w:rFonts w:ascii="Times New Roman" w:hAnsi="Times New Roman" w:cs="Times New Roman"/>
        </w:rPr>
        <w:t>would give rise to ordinary income, the tax rates for which have historically been significantly higher than capital gains rates</w:t>
      </w:r>
      <w:r w:rsidR="000459B2">
        <w:rPr>
          <w:rFonts w:ascii="Times New Roman" w:hAnsi="Times New Roman" w:cs="Times New Roman"/>
        </w:rPr>
        <w:t xml:space="preserve">, albeit, in the case of certain domestic corporate shareholders, </w:t>
      </w:r>
      <w:r w:rsidR="0073715B">
        <w:rPr>
          <w:rFonts w:ascii="Times New Roman" w:hAnsi="Times New Roman" w:cs="Times New Roman"/>
        </w:rPr>
        <w:t xml:space="preserve">potentially </w:t>
      </w:r>
      <w:r w:rsidR="000459B2">
        <w:rPr>
          <w:rFonts w:ascii="Times New Roman" w:hAnsi="Times New Roman" w:cs="Times New Roman"/>
        </w:rPr>
        <w:t>offset by a deemed paid credit under former Code Sec. 902.</w:t>
      </w:r>
    </w:p>
    <w:p w14:paraId="27632CDE" w14:textId="51AB5716" w:rsidR="00DB5C83" w:rsidRDefault="00DB5C83" w:rsidP="005E68EE">
      <w:pPr>
        <w:pStyle w:val="Heading4"/>
        <w:widowControl w:val="0"/>
        <w:contextualSpacing w:val="0"/>
      </w:pPr>
      <w:r>
        <w:t>Subpart F</w:t>
      </w:r>
    </w:p>
    <w:p w14:paraId="4E598051" w14:textId="1A965177" w:rsidR="006E57F2" w:rsidRDefault="00D511E8" w:rsidP="0096648D">
      <w:pPr>
        <w:widowControl w:val="0"/>
        <w:spacing w:after="240" w:line="240" w:lineRule="auto"/>
        <w:rPr>
          <w:rFonts w:ascii="Times New Roman" w:hAnsi="Times New Roman" w:cs="Times New Roman"/>
        </w:rPr>
      </w:pPr>
      <w:r>
        <w:rPr>
          <w:rFonts w:ascii="Times New Roman" w:hAnsi="Times New Roman" w:cs="Times New Roman"/>
        </w:rPr>
        <w:t xml:space="preserve">Congress enacted </w:t>
      </w:r>
      <w:r w:rsidR="001B1691">
        <w:rPr>
          <w:rFonts w:ascii="Times New Roman" w:hAnsi="Times New Roman" w:cs="Times New Roman"/>
        </w:rPr>
        <w:t>Code Secs. 951 to 965 (“</w:t>
      </w:r>
      <w:r w:rsidR="001B1691">
        <w:rPr>
          <w:rFonts w:ascii="Times New Roman" w:hAnsi="Times New Roman" w:cs="Times New Roman"/>
          <w:b/>
          <w:bCs/>
        </w:rPr>
        <w:t>subpart F</w:t>
      </w:r>
      <w:r w:rsidR="001B1691">
        <w:rPr>
          <w:rFonts w:ascii="Times New Roman" w:hAnsi="Times New Roman" w:cs="Times New Roman"/>
        </w:rPr>
        <w:t>”)</w:t>
      </w:r>
      <w:r w:rsidR="00CA50CF">
        <w:rPr>
          <w:rStyle w:val="FootnoteReference"/>
          <w:rFonts w:ascii="Times New Roman" w:hAnsi="Times New Roman" w:cs="Times New Roman"/>
        </w:rPr>
        <w:footnoteReference w:id="11"/>
      </w:r>
      <w:r w:rsidR="001B1691">
        <w:rPr>
          <w:rFonts w:ascii="Times New Roman" w:hAnsi="Times New Roman" w:cs="Times New Roman"/>
        </w:rPr>
        <w:t xml:space="preserve"> </w:t>
      </w:r>
      <w:r w:rsidR="00E7787A">
        <w:rPr>
          <w:rFonts w:ascii="Times New Roman" w:hAnsi="Times New Roman" w:cs="Times New Roman"/>
        </w:rPr>
        <w:t xml:space="preserve">in the Revenue Act of 1962 </w:t>
      </w:r>
      <w:r w:rsidR="00221598">
        <w:rPr>
          <w:rFonts w:ascii="Times New Roman" w:hAnsi="Times New Roman" w:cs="Times New Roman"/>
        </w:rPr>
        <w:t xml:space="preserve">to address </w:t>
      </w:r>
      <w:r w:rsidR="007F4B5B">
        <w:rPr>
          <w:rFonts w:ascii="Times New Roman" w:hAnsi="Times New Roman" w:cs="Times New Roman"/>
        </w:rPr>
        <w:t xml:space="preserve">concerns </w:t>
      </w:r>
      <w:r w:rsidR="008F5E18">
        <w:rPr>
          <w:rFonts w:ascii="Times New Roman" w:hAnsi="Times New Roman" w:cs="Times New Roman"/>
        </w:rPr>
        <w:t>with</w:t>
      </w:r>
      <w:r w:rsidR="00A5108A">
        <w:rPr>
          <w:rFonts w:ascii="Times New Roman" w:hAnsi="Times New Roman" w:cs="Times New Roman"/>
        </w:rPr>
        <w:t xml:space="preserve"> </w:t>
      </w:r>
      <w:r w:rsidR="008F5E18">
        <w:rPr>
          <w:rFonts w:ascii="Times New Roman" w:hAnsi="Times New Roman" w:cs="Times New Roman"/>
        </w:rPr>
        <w:t xml:space="preserve">deferral of </w:t>
      </w:r>
      <w:r w:rsidR="00E907D6">
        <w:rPr>
          <w:rFonts w:ascii="Times New Roman" w:hAnsi="Times New Roman" w:cs="Times New Roman"/>
        </w:rPr>
        <w:t>certain passive or mobile income</w:t>
      </w:r>
      <w:r w:rsidR="0083180B">
        <w:rPr>
          <w:rFonts w:ascii="Times New Roman" w:hAnsi="Times New Roman" w:cs="Times New Roman"/>
        </w:rPr>
        <w:t xml:space="preserve"> (“</w:t>
      </w:r>
      <w:r w:rsidR="0083180B">
        <w:rPr>
          <w:rFonts w:ascii="Times New Roman" w:hAnsi="Times New Roman" w:cs="Times New Roman"/>
          <w:b/>
          <w:bCs/>
        </w:rPr>
        <w:t>subpart F income</w:t>
      </w:r>
      <w:r w:rsidR="0083180B">
        <w:rPr>
          <w:rFonts w:ascii="Times New Roman" w:hAnsi="Times New Roman" w:cs="Times New Roman"/>
        </w:rPr>
        <w:t>”)</w:t>
      </w:r>
      <w:r w:rsidR="00C574CC" w:rsidRPr="00C574CC">
        <w:rPr>
          <w:rStyle w:val="FootnoteReference"/>
          <w:rFonts w:ascii="Times New Roman" w:hAnsi="Times New Roman" w:cs="Times New Roman"/>
        </w:rPr>
        <w:t xml:space="preserve"> </w:t>
      </w:r>
      <w:r w:rsidR="00C574CC">
        <w:rPr>
          <w:rStyle w:val="FootnoteReference"/>
          <w:rFonts w:ascii="Times New Roman" w:hAnsi="Times New Roman" w:cs="Times New Roman"/>
        </w:rPr>
        <w:footnoteReference w:id="12"/>
      </w:r>
      <w:r w:rsidR="00E907D6">
        <w:rPr>
          <w:rFonts w:ascii="Times New Roman" w:hAnsi="Times New Roman" w:cs="Times New Roman"/>
        </w:rPr>
        <w:t xml:space="preserve"> </w:t>
      </w:r>
      <w:r w:rsidR="005258A1">
        <w:rPr>
          <w:rFonts w:ascii="Times New Roman" w:hAnsi="Times New Roman" w:cs="Times New Roman"/>
        </w:rPr>
        <w:t>of “</w:t>
      </w:r>
      <w:r w:rsidR="005258A1" w:rsidRPr="00D02855">
        <w:rPr>
          <w:rFonts w:ascii="Times New Roman" w:hAnsi="Times New Roman" w:cs="Times New Roman"/>
        </w:rPr>
        <w:t>American controlled</w:t>
      </w:r>
      <w:r w:rsidR="005258A1">
        <w:rPr>
          <w:rFonts w:ascii="Times New Roman" w:hAnsi="Times New Roman" w:cs="Times New Roman"/>
        </w:rPr>
        <w:t>” foreign corporations</w:t>
      </w:r>
      <w:r w:rsidR="00C24479">
        <w:rPr>
          <w:rFonts w:ascii="Times New Roman" w:hAnsi="Times New Roman" w:cs="Times New Roman"/>
        </w:rPr>
        <w:t>.</w:t>
      </w:r>
      <w:r w:rsidR="00C24479" w:rsidRPr="00A93728">
        <w:rPr>
          <w:rStyle w:val="FootnoteReference"/>
          <w:rFonts w:ascii="Times New Roman" w:hAnsi="Times New Roman" w:cs="Times New Roman"/>
        </w:rPr>
        <w:footnoteReference w:id="13"/>
      </w:r>
      <w:r w:rsidR="001B1691">
        <w:rPr>
          <w:rFonts w:ascii="Times New Roman" w:hAnsi="Times New Roman" w:cs="Times New Roman"/>
        </w:rPr>
        <w:t xml:space="preserve"> Specifically,</w:t>
      </w:r>
      <w:r w:rsidR="00E7787A">
        <w:rPr>
          <w:rFonts w:ascii="Times New Roman" w:hAnsi="Times New Roman" w:cs="Times New Roman"/>
        </w:rPr>
        <w:t xml:space="preserve"> under subpart F, </w:t>
      </w:r>
      <w:r w:rsidR="00E907D6">
        <w:rPr>
          <w:rFonts w:ascii="Times New Roman" w:hAnsi="Times New Roman" w:cs="Times New Roman"/>
        </w:rPr>
        <w:t xml:space="preserve">any U.S. shareholder that owns stock (within the </w:t>
      </w:r>
      <w:r w:rsidR="00E907D6">
        <w:rPr>
          <w:rFonts w:ascii="Times New Roman" w:hAnsi="Times New Roman" w:cs="Times New Roman"/>
        </w:rPr>
        <w:lastRenderedPageBreak/>
        <w:t xml:space="preserve">meaning of </w:t>
      </w:r>
      <w:r w:rsidR="003B0B6C">
        <w:rPr>
          <w:rFonts w:ascii="Times New Roman" w:hAnsi="Times New Roman" w:cs="Times New Roman"/>
        </w:rPr>
        <w:t xml:space="preserve">Code Sec. </w:t>
      </w:r>
      <w:r w:rsidR="00E907D6">
        <w:rPr>
          <w:rFonts w:ascii="Times New Roman" w:hAnsi="Times New Roman" w:cs="Times New Roman"/>
        </w:rPr>
        <w:t>958(a))</w:t>
      </w:r>
      <w:r w:rsidR="002D49B0">
        <w:rPr>
          <w:rStyle w:val="FootnoteReference"/>
          <w:rFonts w:ascii="Times New Roman" w:hAnsi="Times New Roman" w:cs="Times New Roman"/>
        </w:rPr>
        <w:footnoteReference w:id="14"/>
      </w:r>
      <w:r w:rsidR="00E907D6">
        <w:rPr>
          <w:rFonts w:ascii="Times New Roman" w:hAnsi="Times New Roman" w:cs="Times New Roman"/>
        </w:rPr>
        <w:t xml:space="preserve"> in a foreign corporation on the last day on which the corporation is a CFC must include in </w:t>
      </w:r>
      <w:r w:rsidR="00C631F1">
        <w:rPr>
          <w:rFonts w:ascii="Times New Roman" w:hAnsi="Times New Roman" w:cs="Times New Roman"/>
        </w:rPr>
        <w:t xml:space="preserve">its </w:t>
      </w:r>
      <w:r w:rsidR="00E907D6">
        <w:rPr>
          <w:rFonts w:ascii="Times New Roman" w:hAnsi="Times New Roman" w:cs="Times New Roman"/>
        </w:rPr>
        <w:t xml:space="preserve">gross income its </w:t>
      </w:r>
      <w:r w:rsidR="00E907D6" w:rsidRPr="00844E5A">
        <w:rPr>
          <w:rFonts w:ascii="Times New Roman" w:hAnsi="Times New Roman" w:cs="Times New Roman"/>
          <w:i/>
        </w:rPr>
        <w:t>pro rata</w:t>
      </w:r>
      <w:r w:rsidR="00E907D6">
        <w:rPr>
          <w:rFonts w:ascii="Times New Roman" w:hAnsi="Times New Roman" w:cs="Times New Roman"/>
        </w:rPr>
        <w:t xml:space="preserve"> share of the corporation’s subpart F income</w:t>
      </w:r>
      <w:r w:rsidR="00881C8D">
        <w:rPr>
          <w:rFonts w:ascii="Times New Roman" w:hAnsi="Times New Roman" w:cs="Times New Roman"/>
        </w:rPr>
        <w:t xml:space="preserve"> (such inclusion, </w:t>
      </w:r>
      <w:r w:rsidR="00881C8D" w:rsidRPr="00881C8D">
        <w:rPr>
          <w:rFonts w:ascii="Times New Roman" w:hAnsi="Times New Roman" w:cs="Times New Roman"/>
        </w:rPr>
        <w:t>a “</w:t>
      </w:r>
      <w:r w:rsidR="00881C8D" w:rsidRPr="00894ACA">
        <w:rPr>
          <w:rFonts w:ascii="Times New Roman" w:hAnsi="Times New Roman" w:cs="Times New Roman"/>
          <w:b/>
          <w:bCs/>
        </w:rPr>
        <w:t>subpart F inclusion</w:t>
      </w:r>
      <w:r w:rsidR="00881C8D" w:rsidRPr="00881C8D">
        <w:rPr>
          <w:rFonts w:ascii="Times New Roman" w:hAnsi="Times New Roman" w:cs="Times New Roman"/>
        </w:rPr>
        <w:t>”)</w:t>
      </w:r>
      <w:r w:rsidR="00E907D6">
        <w:rPr>
          <w:rFonts w:ascii="Times New Roman" w:hAnsi="Times New Roman" w:cs="Times New Roman"/>
        </w:rPr>
        <w:t>.</w:t>
      </w:r>
      <w:r w:rsidR="00E33753">
        <w:rPr>
          <w:rStyle w:val="FootnoteReference"/>
          <w:rFonts w:ascii="Times New Roman" w:hAnsi="Times New Roman" w:cs="Times New Roman"/>
        </w:rPr>
        <w:footnoteReference w:id="15"/>
      </w:r>
      <w:r w:rsidR="00E907D6">
        <w:rPr>
          <w:rFonts w:ascii="Times New Roman" w:hAnsi="Times New Roman" w:cs="Times New Roman"/>
        </w:rPr>
        <w:t xml:space="preserve"> </w:t>
      </w:r>
      <w:r w:rsidR="006E57F2">
        <w:rPr>
          <w:rFonts w:ascii="Times New Roman" w:hAnsi="Times New Roman" w:cs="Times New Roman"/>
        </w:rPr>
        <w:t xml:space="preserve">In general, a U.S. shareholder’s </w:t>
      </w:r>
      <w:r w:rsidR="006E57F2" w:rsidRPr="007805DA">
        <w:rPr>
          <w:rFonts w:ascii="Times New Roman" w:hAnsi="Times New Roman" w:cs="Times New Roman"/>
          <w:i/>
        </w:rPr>
        <w:t>pro rata</w:t>
      </w:r>
      <w:r w:rsidR="006E57F2">
        <w:rPr>
          <w:rFonts w:ascii="Times New Roman" w:hAnsi="Times New Roman" w:cs="Times New Roman"/>
        </w:rPr>
        <w:t xml:space="preserve"> share of subpart F income is the amount of </w:t>
      </w:r>
      <w:r w:rsidR="006E57F2" w:rsidRPr="00C25C03">
        <w:rPr>
          <w:rFonts w:ascii="Times New Roman" w:hAnsi="Times New Roman" w:cs="Times New Roman"/>
        </w:rPr>
        <w:t>E&amp;P</w:t>
      </w:r>
      <w:r w:rsidR="006E57F2">
        <w:rPr>
          <w:rFonts w:ascii="Times New Roman" w:hAnsi="Times New Roman" w:cs="Times New Roman"/>
        </w:rPr>
        <w:t xml:space="preserve"> attributable to subpart F income that would be distributed with respect to the CFC stock that the shareholder owns (within the meaning of Code Sec. 958(a)) if, on the last day in its taxable year on which the corporation is a CFC, the corporation had distributed all its E&amp;P </w:t>
      </w:r>
      <w:r w:rsidR="006E57F2" w:rsidRPr="007805DA">
        <w:rPr>
          <w:rFonts w:ascii="Times New Roman" w:hAnsi="Times New Roman" w:cs="Times New Roman"/>
          <w:i/>
        </w:rPr>
        <w:t>pro rata</w:t>
      </w:r>
      <w:r w:rsidR="006E57F2">
        <w:rPr>
          <w:rFonts w:ascii="Times New Roman" w:hAnsi="Times New Roman" w:cs="Times New Roman"/>
        </w:rPr>
        <w:t xml:space="preserve"> to its shareholders.</w:t>
      </w:r>
      <w:r w:rsidR="006E57F2" w:rsidRPr="00A93728">
        <w:rPr>
          <w:rStyle w:val="FootnoteReference"/>
          <w:rFonts w:ascii="Times New Roman" w:hAnsi="Times New Roman" w:cs="Times New Roman"/>
        </w:rPr>
        <w:footnoteReference w:id="16"/>
      </w:r>
    </w:p>
    <w:p w14:paraId="2736EE2E" w14:textId="30C4ADF1" w:rsidR="00D637F1" w:rsidRDefault="006E57F2" w:rsidP="0096648D">
      <w:pPr>
        <w:widowControl w:val="0"/>
        <w:spacing w:after="240" w:line="240" w:lineRule="auto"/>
        <w:rPr>
          <w:rFonts w:ascii="Times New Roman" w:hAnsi="Times New Roman" w:cs="Times New Roman"/>
        </w:rPr>
      </w:pPr>
      <w:r>
        <w:rPr>
          <w:rFonts w:ascii="Times New Roman" w:hAnsi="Times New Roman" w:cs="Times New Roman"/>
        </w:rPr>
        <w:t xml:space="preserve">A CFC is a foreign corporation in which more than </w:t>
      </w:r>
      <w:r w:rsidR="002019BE">
        <w:rPr>
          <w:rFonts w:ascii="Times New Roman" w:hAnsi="Times New Roman" w:cs="Times New Roman"/>
        </w:rPr>
        <w:t>50</w:t>
      </w:r>
      <w:r w:rsidR="00D559CA">
        <w:rPr>
          <w:rFonts w:ascii="Times New Roman" w:hAnsi="Times New Roman" w:cs="Times New Roman"/>
        </w:rPr>
        <w:t xml:space="preserve"> </w:t>
      </w:r>
      <w:r>
        <w:rPr>
          <w:rFonts w:ascii="Times New Roman" w:hAnsi="Times New Roman" w:cs="Times New Roman"/>
        </w:rPr>
        <w:t xml:space="preserve">percent of the vote or value (within the meaning of </w:t>
      </w:r>
      <w:r w:rsidR="003B0B6C">
        <w:rPr>
          <w:rFonts w:ascii="Times New Roman" w:hAnsi="Times New Roman" w:cs="Times New Roman"/>
        </w:rPr>
        <w:t xml:space="preserve">Code Sec. </w:t>
      </w:r>
      <w:r>
        <w:rPr>
          <w:rFonts w:ascii="Times New Roman" w:hAnsi="Times New Roman" w:cs="Times New Roman"/>
        </w:rPr>
        <w:t>958(a) or (b)</w:t>
      </w:r>
      <w:r>
        <w:rPr>
          <w:rStyle w:val="FootnoteReference"/>
          <w:rFonts w:ascii="Times New Roman" w:hAnsi="Times New Roman" w:cs="Times New Roman"/>
        </w:rPr>
        <w:footnoteReference w:id="17"/>
      </w:r>
      <w:r>
        <w:rPr>
          <w:rFonts w:ascii="Times New Roman" w:hAnsi="Times New Roman" w:cs="Times New Roman"/>
        </w:rPr>
        <w:t>) is owned by U.S. shareholders.</w:t>
      </w:r>
      <w:r>
        <w:rPr>
          <w:rStyle w:val="FootnoteReference"/>
          <w:rFonts w:ascii="Times New Roman" w:hAnsi="Times New Roman" w:cs="Times New Roman"/>
        </w:rPr>
        <w:footnoteReference w:id="18"/>
      </w:r>
      <w:r>
        <w:rPr>
          <w:rFonts w:ascii="Times New Roman" w:hAnsi="Times New Roman" w:cs="Times New Roman"/>
        </w:rPr>
        <w:t xml:space="preserve"> </w:t>
      </w:r>
      <w:r w:rsidR="003C1917">
        <w:rPr>
          <w:rFonts w:ascii="Times New Roman" w:hAnsi="Times New Roman" w:cs="Times New Roman"/>
        </w:rPr>
        <w:t xml:space="preserve">A U.S. shareholder is a U.S. person that owns (within the meaning of </w:t>
      </w:r>
      <w:r w:rsidR="009A4E92">
        <w:rPr>
          <w:rFonts w:ascii="Times New Roman" w:hAnsi="Times New Roman" w:cs="Times New Roman"/>
        </w:rPr>
        <w:t>Code Secs.</w:t>
      </w:r>
      <w:r w:rsidR="003C1917">
        <w:rPr>
          <w:rFonts w:ascii="Times New Roman" w:hAnsi="Times New Roman" w:cs="Times New Roman"/>
        </w:rPr>
        <w:t xml:space="preserve"> 958(a) or 958(b)) ten</w:t>
      </w:r>
      <w:r w:rsidR="002019BE">
        <w:rPr>
          <w:rFonts w:ascii="Times New Roman" w:hAnsi="Times New Roman" w:cs="Times New Roman"/>
        </w:rPr>
        <w:t xml:space="preserve"> </w:t>
      </w:r>
      <w:r w:rsidR="003C1917">
        <w:rPr>
          <w:rFonts w:ascii="Times New Roman" w:hAnsi="Times New Roman" w:cs="Times New Roman"/>
        </w:rPr>
        <w:t>percent or more of the vote or value of a foreign corporation.</w:t>
      </w:r>
      <w:r w:rsidR="003C1917">
        <w:rPr>
          <w:rStyle w:val="FootnoteReference"/>
          <w:rFonts w:ascii="Times New Roman" w:hAnsi="Times New Roman" w:cs="Times New Roman"/>
        </w:rPr>
        <w:footnoteReference w:id="19"/>
      </w:r>
      <w:r w:rsidR="00DF4337">
        <w:rPr>
          <w:rFonts w:ascii="Times New Roman" w:hAnsi="Times New Roman" w:cs="Times New Roman"/>
        </w:rPr>
        <w:t xml:space="preserve"> </w:t>
      </w:r>
      <w:r w:rsidR="00960A6E">
        <w:rPr>
          <w:rFonts w:ascii="Times New Roman" w:hAnsi="Times New Roman" w:cs="Times New Roman"/>
        </w:rPr>
        <w:t>This U.S.</w:t>
      </w:r>
      <w:r w:rsidR="006C4092" w:rsidRPr="006C4092">
        <w:rPr>
          <w:rFonts w:ascii="Times New Roman" w:hAnsi="Times New Roman" w:cs="Times New Roman"/>
        </w:rPr>
        <w:t xml:space="preserve"> shareholder limitation </w:t>
      </w:r>
      <w:r w:rsidR="00C45134">
        <w:rPr>
          <w:rFonts w:ascii="Times New Roman" w:hAnsi="Times New Roman" w:cs="Times New Roman"/>
        </w:rPr>
        <w:t xml:space="preserve">in subpart F </w:t>
      </w:r>
      <w:r w:rsidR="006C4092" w:rsidRPr="006C4092">
        <w:rPr>
          <w:rFonts w:ascii="Times New Roman" w:hAnsi="Times New Roman" w:cs="Times New Roman"/>
        </w:rPr>
        <w:t xml:space="preserve">was intended </w:t>
      </w:r>
      <w:r w:rsidR="00960A6E">
        <w:rPr>
          <w:rFonts w:ascii="Times New Roman" w:hAnsi="Times New Roman" w:cs="Times New Roman"/>
        </w:rPr>
        <w:t>as</w:t>
      </w:r>
      <w:r w:rsidR="006C4092" w:rsidRPr="006C4092">
        <w:rPr>
          <w:rFonts w:ascii="Times New Roman" w:hAnsi="Times New Roman" w:cs="Times New Roman"/>
        </w:rPr>
        <w:t xml:space="preserve"> a “</w:t>
      </w:r>
      <w:r w:rsidR="006C4092" w:rsidRPr="00E76F55">
        <w:rPr>
          <w:rFonts w:ascii="Times New Roman" w:hAnsi="Times New Roman" w:cs="Times New Roman"/>
          <w:i/>
        </w:rPr>
        <w:t>de minimis</w:t>
      </w:r>
      <w:r w:rsidR="006C4092" w:rsidRPr="006C4092">
        <w:rPr>
          <w:rFonts w:ascii="Times New Roman" w:hAnsi="Times New Roman" w:cs="Times New Roman"/>
        </w:rPr>
        <w:t xml:space="preserve"> rule </w:t>
      </w:r>
      <w:r w:rsidR="003F06E1">
        <w:rPr>
          <w:rFonts w:ascii="Times New Roman" w:hAnsi="Times New Roman" w:cs="Times New Roman"/>
        </w:rPr>
        <w:t>[that] prevents</w:t>
      </w:r>
      <w:r w:rsidR="006C4092" w:rsidRPr="006C4092">
        <w:rPr>
          <w:rFonts w:ascii="Times New Roman" w:hAnsi="Times New Roman" w:cs="Times New Roman"/>
        </w:rPr>
        <w:t xml:space="preserve"> the attribution of the undistributed income back to the shareholders where their interest is small and their influence on the corporation’s policy is presumably negligible</w:t>
      </w:r>
      <w:r w:rsidR="00D252DF">
        <w:rPr>
          <w:rFonts w:ascii="Times New Roman" w:hAnsi="Times New Roman" w:cs="Times New Roman"/>
        </w:rPr>
        <w:t>.</w:t>
      </w:r>
      <w:r w:rsidR="006C4092" w:rsidRPr="006C4092">
        <w:rPr>
          <w:rFonts w:ascii="Times New Roman" w:hAnsi="Times New Roman" w:cs="Times New Roman"/>
        </w:rPr>
        <w:t>”</w:t>
      </w:r>
      <w:bookmarkStart w:id="3" w:name="OLE_LINK21"/>
      <w:r w:rsidR="00D637F1" w:rsidRPr="00A93728">
        <w:rPr>
          <w:rStyle w:val="FootnoteReference"/>
          <w:rFonts w:ascii="Times New Roman" w:hAnsi="Times New Roman" w:cs="Times New Roman"/>
        </w:rPr>
        <w:footnoteReference w:id="20"/>
      </w:r>
      <w:bookmarkEnd w:id="3"/>
    </w:p>
    <w:p w14:paraId="7D4F9F9D" w14:textId="628ECF99" w:rsidR="00C2613E" w:rsidRDefault="00C2613E" w:rsidP="0096648D">
      <w:pPr>
        <w:widowControl w:val="0"/>
        <w:spacing w:after="240" w:line="240" w:lineRule="auto"/>
        <w:rPr>
          <w:rFonts w:ascii="Times New Roman" w:hAnsi="Times New Roman" w:cs="Times New Roman"/>
        </w:rPr>
      </w:pPr>
      <w:r>
        <w:rPr>
          <w:rFonts w:ascii="Times New Roman" w:hAnsi="Times New Roman" w:cs="Times New Roman"/>
        </w:rPr>
        <w:t xml:space="preserve">Code Secs. 959 and 961 provide </w:t>
      </w:r>
      <w:r w:rsidR="00DF7F4E" w:rsidRPr="00DF7F4E">
        <w:rPr>
          <w:rFonts w:ascii="Times New Roman" w:hAnsi="Times New Roman" w:cs="Times New Roman"/>
        </w:rPr>
        <w:t>rules</w:t>
      </w:r>
      <w:r>
        <w:rPr>
          <w:rFonts w:ascii="Times New Roman" w:hAnsi="Times New Roman" w:cs="Times New Roman"/>
        </w:rPr>
        <w:t xml:space="preserve"> intended</w:t>
      </w:r>
      <w:r w:rsidR="00DF7F4E" w:rsidRPr="00DF7F4E">
        <w:rPr>
          <w:rFonts w:ascii="Times New Roman" w:hAnsi="Times New Roman" w:cs="Times New Roman"/>
        </w:rPr>
        <w:t xml:space="preserve"> </w:t>
      </w:r>
      <w:r>
        <w:rPr>
          <w:rFonts w:ascii="Times New Roman" w:hAnsi="Times New Roman" w:cs="Times New Roman"/>
        </w:rPr>
        <w:t xml:space="preserve">to ensure </w:t>
      </w:r>
      <w:r w:rsidR="00DF7F4E" w:rsidRPr="00DF7F4E">
        <w:rPr>
          <w:rFonts w:ascii="Times New Roman" w:hAnsi="Times New Roman" w:cs="Times New Roman"/>
        </w:rPr>
        <w:t xml:space="preserve">that subpart F income is included in a U.S. shareholder’s income once, and only once. </w:t>
      </w:r>
      <w:r>
        <w:rPr>
          <w:rFonts w:ascii="Times New Roman" w:hAnsi="Times New Roman" w:cs="Times New Roman"/>
        </w:rPr>
        <w:t xml:space="preserve">Specifically, </w:t>
      </w:r>
      <w:r w:rsidR="00DF7F4E" w:rsidRPr="00DF7F4E">
        <w:rPr>
          <w:rFonts w:ascii="Times New Roman" w:hAnsi="Times New Roman" w:cs="Times New Roman"/>
        </w:rPr>
        <w:t xml:space="preserve">E&amp;P of a foreign corporation that </w:t>
      </w:r>
      <w:r>
        <w:rPr>
          <w:rFonts w:ascii="Times New Roman" w:hAnsi="Times New Roman" w:cs="Times New Roman"/>
        </w:rPr>
        <w:t xml:space="preserve">are </w:t>
      </w:r>
      <w:r w:rsidR="00DF7F4E" w:rsidRPr="00DF7F4E">
        <w:rPr>
          <w:rFonts w:ascii="Times New Roman" w:hAnsi="Times New Roman" w:cs="Times New Roman"/>
        </w:rPr>
        <w:t>attributable to amounts which are, or have been, included in the gross income of the U.S. shareholder under Code Sec. 951(a) (“</w:t>
      </w:r>
      <w:r w:rsidR="00DF7F4E" w:rsidRPr="00C2613E">
        <w:rPr>
          <w:rFonts w:ascii="Times New Roman" w:hAnsi="Times New Roman" w:cs="Times New Roman"/>
          <w:b/>
          <w:bCs/>
        </w:rPr>
        <w:t>previously taxed E&amp;P</w:t>
      </w:r>
      <w:r w:rsidR="00DF7F4E" w:rsidRPr="00DF7F4E">
        <w:rPr>
          <w:rFonts w:ascii="Times New Roman" w:hAnsi="Times New Roman" w:cs="Times New Roman"/>
        </w:rPr>
        <w:t>” or “</w:t>
      </w:r>
      <w:r w:rsidR="00DF7F4E" w:rsidRPr="00C2613E">
        <w:rPr>
          <w:rFonts w:ascii="Times New Roman" w:hAnsi="Times New Roman" w:cs="Times New Roman"/>
          <w:b/>
          <w:bCs/>
        </w:rPr>
        <w:t>PTEP</w:t>
      </w:r>
      <w:r w:rsidR="00DF7F4E" w:rsidRPr="00DF7F4E">
        <w:rPr>
          <w:rFonts w:ascii="Times New Roman" w:hAnsi="Times New Roman" w:cs="Times New Roman"/>
        </w:rPr>
        <w:t>”) are not included again when later distributed or when the amount would be included under Code Sec. 951(a)(1)(B) in the gross income of the shareholder (or successor), including by reason of distributions through a chain of ownership described in Code Sec. 958(a).</w:t>
      </w:r>
      <w:r w:rsidRPr="00A93728">
        <w:rPr>
          <w:rStyle w:val="FootnoteReference"/>
          <w:rFonts w:ascii="Times New Roman" w:hAnsi="Times New Roman" w:cs="Times New Roman"/>
        </w:rPr>
        <w:footnoteReference w:id="21"/>
      </w:r>
      <w:r w:rsidRPr="00DF7F4E">
        <w:rPr>
          <w:rFonts w:ascii="Times New Roman" w:hAnsi="Times New Roman" w:cs="Times New Roman"/>
        </w:rPr>
        <w:t xml:space="preserve"> </w:t>
      </w:r>
      <w:r>
        <w:rPr>
          <w:rFonts w:ascii="Times New Roman" w:hAnsi="Times New Roman" w:cs="Times New Roman"/>
        </w:rPr>
        <w:t xml:space="preserve">Further, a </w:t>
      </w:r>
      <w:r w:rsidR="00DF7F4E" w:rsidRPr="00DF7F4E">
        <w:rPr>
          <w:rFonts w:ascii="Times New Roman" w:hAnsi="Times New Roman" w:cs="Times New Roman"/>
        </w:rPr>
        <w:t xml:space="preserve">U.S. </w:t>
      </w:r>
      <w:r w:rsidR="003F3945" w:rsidRPr="00DF7F4E">
        <w:rPr>
          <w:rFonts w:ascii="Times New Roman" w:hAnsi="Times New Roman" w:cs="Times New Roman"/>
        </w:rPr>
        <w:t>shareholder</w:t>
      </w:r>
      <w:r w:rsidR="003F3945">
        <w:rPr>
          <w:rFonts w:ascii="Times New Roman" w:hAnsi="Times New Roman" w:cs="Times New Roman"/>
        </w:rPr>
        <w:t>’</w:t>
      </w:r>
      <w:r w:rsidR="003F3945" w:rsidRPr="00DF7F4E">
        <w:rPr>
          <w:rFonts w:ascii="Times New Roman" w:hAnsi="Times New Roman" w:cs="Times New Roman"/>
        </w:rPr>
        <w:t>s</w:t>
      </w:r>
      <w:r w:rsidR="00DF7F4E" w:rsidRPr="00DF7F4E">
        <w:rPr>
          <w:rFonts w:ascii="Times New Roman" w:hAnsi="Times New Roman" w:cs="Times New Roman"/>
        </w:rPr>
        <w:t xml:space="preserve"> basis in stock of </w:t>
      </w:r>
      <w:r w:rsidR="00393361">
        <w:rPr>
          <w:rFonts w:ascii="Times New Roman" w:hAnsi="Times New Roman" w:cs="Times New Roman"/>
        </w:rPr>
        <w:t>a</w:t>
      </w:r>
      <w:r w:rsidR="00DF7F4E" w:rsidRPr="00DF7F4E">
        <w:rPr>
          <w:rFonts w:ascii="Times New Roman" w:hAnsi="Times New Roman" w:cs="Times New Roman"/>
        </w:rPr>
        <w:t xml:space="preserve"> CFC, and the basis of property of a U.S. shareholder by reason of which the shareholder is considered </w:t>
      </w:r>
      <w:r w:rsidR="00D23255">
        <w:rPr>
          <w:rFonts w:ascii="Times New Roman" w:hAnsi="Times New Roman" w:cs="Times New Roman"/>
        </w:rPr>
        <w:t xml:space="preserve">under </w:t>
      </w:r>
      <w:r w:rsidR="00DF7F4E" w:rsidRPr="00DF7F4E">
        <w:rPr>
          <w:rFonts w:ascii="Times New Roman" w:hAnsi="Times New Roman" w:cs="Times New Roman"/>
        </w:rPr>
        <w:t>Code Sec. 958(a)(2) as owning stock of a CFC, is increased by the amount required to be included under Code Sec. 951, and decreased by amounts excluded under Code Sec. 959(a) on the distribution of PTEP.</w:t>
      </w:r>
      <w:r w:rsidRPr="00A93728">
        <w:rPr>
          <w:rStyle w:val="FootnoteReference"/>
          <w:rFonts w:ascii="Times New Roman" w:hAnsi="Times New Roman" w:cs="Times New Roman"/>
        </w:rPr>
        <w:footnoteReference w:id="22"/>
      </w:r>
      <w:r>
        <w:rPr>
          <w:rFonts w:ascii="Times New Roman" w:hAnsi="Times New Roman" w:cs="Times New Roman"/>
        </w:rPr>
        <w:t xml:space="preserve"> </w:t>
      </w:r>
      <w:r w:rsidR="00DF7F4E" w:rsidRPr="00DF7F4E">
        <w:rPr>
          <w:rFonts w:ascii="Times New Roman" w:hAnsi="Times New Roman" w:cs="Times New Roman"/>
        </w:rPr>
        <w:t>Under regulations prescribed by the Secretary, similar basis adjustments are to be made to basis in stock in lower-tier CFCs owned indirectly (within the meaning of Code Sec. 958(a)(2)) by a U.S. shareholder, but only for the purposes of determining the amount included under Code Sec. 951 in the gross income of such U.S. shareholder.</w:t>
      </w:r>
      <w:r w:rsidRPr="00A93728">
        <w:rPr>
          <w:rStyle w:val="FootnoteReference"/>
          <w:rFonts w:ascii="Times New Roman" w:hAnsi="Times New Roman" w:cs="Times New Roman"/>
        </w:rPr>
        <w:footnoteReference w:id="23"/>
      </w:r>
    </w:p>
    <w:p w14:paraId="1DFA8019" w14:textId="3C7A4103" w:rsidR="00DB5C83" w:rsidRDefault="00380EC9" w:rsidP="005E68EE">
      <w:pPr>
        <w:pStyle w:val="Heading4"/>
        <w:widowControl w:val="0"/>
        <w:contextualSpacing w:val="0"/>
      </w:pPr>
      <w:r>
        <w:t xml:space="preserve">Code Sec. </w:t>
      </w:r>
      <w:r w:rsidR="002B0C36">
        <w:t>1248</w:t>
      </w:r>
    </w:p>
    <w:p w14:paraId="022B9452" w14:textId="0451BF76" w:rsidR="00EB1FD5" w:rsidRPr="00DC09F5" w:rsidRDefault="001D5050" w:rsidP="0096648D">
      <w:pPr>
        <w:widowControl w:val="0"/>
        <w:spacing w:after="240" w:line="240" w:lineRule="auto"/>
      </w:pPr>
      <w:r>
        <w:rPr>
          <w:rFonts w:ascii="Times New Roman" w:hAnsi="Times New Roman" w:cs="Times New Roman"/>
        </w:rPr>
        <w:t>Congress also enacted Code Sec.</w:t>
      </w:r>
      <w:r w:rsidR="00087EC1">
        <w:rPr>
          <w:rFonts w:ascii="Times New Roman" w:hAnsi="Times New Roman" w:cs="Times New Roman"/>
        </w:rPr>
        <w:t xml:space="preserve"> 1248 </w:t>
      </w:r>
      <w:r w:rsidR="00EF1986">
        <w:rPr>
          <w:rFonts w:ascii="Times New Roman" w:hAnsi="Times New Roman" w:cs="Times New Roman"/>
        </w:rPr>
        <w:t>as part of the</w:t>
      </w:r>
      <w:r w:rsidR="00C00CE7">
        <w:rPr>
          <w:rFonts w:ascii="Times New Roman" w:hAnsi="Times New Roman" w:cs="Times New Roman"/>
        </w:rPr>
        <w:t xml:space="preserve"> Revenue Act of 1962</w:t>
      </w:r>
      <w:r w:rsidR="001F0487">
        <w:rPr>
          <w:rFonts w:ascii="Times New Roman" w:hAnsi="Times New Roman" w:cs="Times New Roman"/>
        </w:rPr>
        <w:t xml:space="preserve">. While subpart F </w:t>
      </w:r>
      <w:r w:rsidR="008D7B28">
        <w:rPr>
          <w:rFonts w:ascii="Times New Roman" w:hAnsi="Times New Roman" w:cs="Times New Roman"/>
        </w:rPr>
        <w:t xml:space="preserve">was intended </w:t>
      </w:r>
      <w:r w:rsidR="008D7B28">
        <w:rPr>
          <w:rFonts w:ascii="Times New Roman" w:hAnsi="Times New Roman" w:cs="Times New Roman"/>
        </w:rPr>
        <w:lastRenderedPageBreak/>
        <w:t xml:space="preserve">to limit </w:t>
      </w:r>
      <w:r w:rsidR="001F0487">
        <w:rPr>
          <w:rFonts w:ascii="Times New Roman" w:hAnsi="Times New Roman" w:cs="Times New Roman"/>
        </w:rPr>
        <w:t xml:space="preserve">the </w:t>
      </w:r>
      <w:r w:rsidR="00C77095">
        <w:rPr>
          <w:rFonts w:ascii="Times New Roman" w:hAnsi="Times New Roman" w:cs="Times New Roman"/>
        </w:rPr>
        <w:t xml:space="preserve">scope of deferral, </w:t>
      </w:r>
      <w:r w:rsidR="008D7B28">
        <w:rPr>
          <w:rFonts w:ascii="Times New Roman" w:hAnsi="Times New Roman" w:cs="Times New Roman"/>
        </w:rPr>
        <w:t xml:space="preserve">Code Sec. </w:t>
      </w:r>
      <w:r w:rsidR="00C77095">
        <w:rPr>
          <w:rFonts w:ascii="Times New Roman" w:hAnsi="Times New Roman" w:cs="Times New Roman"/>
        </w:rPr>
        <w:t>1248</w:t>
      </w:r>
      <w:r w:rsidR="002B0C36">
        <w:rPr>
          <w:rFonts w:ascii="Times New Roman" w:hAnsi="Times New Roman" w:cs="Times New Roman"/>
        </w:rPr>
        <w:t xml:space="preserve"> was intended to limit </w:t>
      </w:r>
      <w:r w:rsidR="00C77095">
        <w:rPr>
          <w:rFonts w:ascii="Times New Roman" w:hAnsi="Times New Roman" w:cs="Times New Roman"/>
        </w:rPr>
        <w:t>its benefit</w:t>
      </w:r>
      <w:r w:rsidR="00B90554">
        <w:rPr>
          <w:rFonts w:ascii="Times New Roman" w:hAnsi="Times New Roman" w:cs="Times New Roman"/>
        </w:rPr>
        <w:t>s</w:t>
      </w:r>
      <w:r w:rsidR="00C77095">
        <w:rPr>
          <w:rFonts w:ascii="Times New Roman" w:hAnsi="Times New Roman" w:cs="Times New Roman"/>
        </w:rPr>
        <w:t xml:space="preserve">. </w:t>
      </w:r>
      <w:r w:rsidR="00057B70">
        <w:rPr>
          <w:rFonts w:ascii="Times New Roman" w:hAnsi="Times New Roman" w:cs="Times New Roman"/>
        </w:rPr>
        <w:t xml:space="preserve">Even </w:t>
      </w:r>
      <w:r w:rsidR="002B0C36">
        <w:rPr>
          <w:rFonts w:ascii="Times New Roman" w:hAnsi="Times New Roman" w:cs="Times New Roman"/>
        </w:rPr>
        <w:t>after</w:t>
      </w:r>
      <w:r w:rsidR="00057B70">
        <w:rPr>
          <w:rFonts w:ascii="Times New Roman" w:hAnsi="Times New Roman" w:cs="Times New Roman"/>
        </w:rPr>
        <w:t xml:space="preserve"> the introduction of subpart F, </w:t>
      </w:r>
      <w:r w:rsidR="00B90554">
        <w:rPr>
          <w:rFonts w:ascii="Times New Roman" w:hAnsi="Times New Roman" w:cs="Times New Roman"/>
        </w:rPr>
        <w:t xml:space="preserve">a shareholder could </w:t>
      </w:r>
      <w:r w:rsidR="00057B70">
        <w:rPr>
          <w:rFonts w:ascii="Times New Roman" w:hAnsi="Times New Roman" w:cs="Times New Roman"/>
        </w:rPr>
        <w:t xml:space="preserve">defer U.S. </w:t>
      </w:r>
      <w:r w:rsidR="00B90554">
        <w:rPr>
          <w:rFonts w:ascii="Times New Roman" w:hAnsi="Times New Roman" w:cs="Times New Roman"/>
        </w:rPr>
        <w:t xml:space="preserve">tax on most of its CFC’s </w:t>
      </w:r>
      <w:r w:rsidR="00C27564">
        <w:rPr>
          <w:rFonts w:ascii="Times New Roman" w:hAnsi="Times New Roman" w:cs="Times New Roman"/>
        </w:rPr>
        <w:t xml:space="preserve">income </w:t>
      </w:r>
      <w:r w:rsidR="00B90554">
        <w:rPr>
          <w:rFonts w:ascii="Times New Roman" w:hAnsi="Times New Roman" w:cs="Times New Roman"/>
        </w:rPr>
        <w:t>by delaying the payment of a dividend</w:t>
      </w:r>
      <w:r w:rsidR="00057B70">
        <w:rPr>
          <w:rFonts w:ascii="Times New Roman" w:hAnsi="Times New Roman" w:cs="Times New Roman"/>
        </w:rPr>
        <w:t>. However,</w:t>
      </w:r>
      <w:r w:rsidR="00B90554">
        <w:rPr>
          <w:rFonts w:ascii="Times New Roman" w:hAnsi="Times New Roman" w:cs="Times New Roman"/>
        </w:rPr>
        <w:t xml:space="preserve"> once that dividend was paid, the shareholder would recognize ordinary income</w:t>
      </w:r>
      <w:r w:rsidR="00C27564">
        <w:rPr>
          <w:rFonts w:ascii="Times New Roman" w:hAnsi="Times New Roman" w:cs="Times New Roman"/>
        </w:rPr>
        <w:t>, taxable at the shareholder’s marginal rate</w:t>
      </w:r>
      <w:r w:rsidR="00AD216B">
        <w:rPr>
          <w:rFonts w:ascii="Times New Roman" w:hAnsi="Times New Roman" w:cs="Times New Roman"/>
        </w:rPr>
        <w:t xml:space="preserve">; </w:t>
      </w:r>
      <w:r w:rsidR="00AD216B" w:rsidRPr="00C25C03">
        <w:rPr>
          <w:rFonts w:ascii="Times New Roman" w:hAnsi="Times New Roman" w:cs="Times New Roman"/>
          <w:i/>
          <w:iCs/>
        </w:rPr>
        <w:t>i.e.</w:t>
      </w:r>
      <w:r w:rsidR="00AD216B">
        <w:rPr>
          <w:rFonts w:ascii="Times New Roman" w:hAnsi="Times New Roman" w:cs="Times New Roman"/>
        </w:rPr>
        <w:t>,</w:t>
      </w:r>
      <w:r w:rsidR="00A36505">
        <w:rPr>
          <w:rFonts w:ascii="Times New Roman" w:hAnsi="Times New Roman" w:cs="Times New Roman"/>
        </w:rPr>
        <w:t xml:space="preserve"> the same rate that would have applied if the CFC’s income had instead been earned directly </w:t>
      </w:r>
      <w:r w:rsidR="007D5A3A">
        <w:rPr>
          <w:rFonts w:ascii="Times New Roman" w:hAnsi="Times New Roman" w:cs="Times New Roman"/>
        </w:rPr>
        <w:t>by th</w:t>
      </w:r>
      <w:r w:rsidR="004B2C72">
        <w:rPr>
          <w:rFonts w:ascii="Times New Roman" w:hAnsi="Times New Roman" w:cs="Times New Roman"/>
        </w:rPr>
        <w:t xml:space="preserve">e </w:t>
      </w:r>
      <w:r w:rsidR="007D5A3A">
        <w:rPr>
          <w:rFonts w:ascii="Times New Roman" w:hAnsi="Times New Roman" w:cs="Times New Roman"/>
        </w:rPr>
        <w:t xml:space="preserve">shareholder. </w:t>
      </w:r>
      <w:r w:rsidR="00B90554">
        <w:rPr>
          <w:rFonts w:ascii="Times New Roman" w:hAnsi="Times New Roman" w:cs="Times New Roman"/>
        </w:rPr>
        <w:t>However,</w:t>
      </w:r>
      <w:r w:rsidR="00123B53">
        <w:rPr>
          <w:rFonts w:ascii="Times New Roman" w:hAnsi="Times New Roman" w:cs="Times New Roman"/>
        </w:rPr>
        <w:t xml:space="preserve"> </w:t>
      </w:r>
      <w:r w:rsidR="00C77095">
        <w:rPr>
          <w:rFonts w:ascii="Times New Roman" w:hAnsi="Times New Roman" w:cs="Times New Roman"/>
        </w:rPr>
        <w:t xml:space="preserve">Congress </w:t>
      </w:r>
      <w:r w:rsidR="00B90554">
        <w:rPr>
          <w:rFonts w:ascii="Times New Roman" w:hAnsi="Times New Roman" w:cs="Times New Roman"/>
        </w:rPr>
        <w:t>became</w:t>
      </w:r>
      <w:r w:rsidR="00C77095">
        <w:rPr>
          <w:rFonts w:ascii="Times New Roman" w:hAnsi="Times New Roman" w:cs="Times New Roman"/>
        </w:rPr>
        <w:t xml:space="preserve"> concerned that</w:t>
      </w:r>
      <w:r w:rsidR="00B90554">
        <w:rPr>
          <w:rFonts w:ascii="Times New Roman" w:hAnsi="Times New Roman" w:cs="Times New Roman"/>
        </w:rPr>
        <w:t xml:space="preserve"> </w:t>
      </w:r>
      <w:r w:rsidR="0040093F">
        <w:rPr>
          <w:rFonts w:ascii="Times New Roman" w:hAnsi="Times New Roman" w:cs="Times New Roman"/>
        </w:rPr>
        <w:t xml:space="preserve">shareholders </w:t>
      </w:r>
      <w:r w:rsidR="00123B53">
        <w:rPr>
          <w:rFonts w:ascii="Times New Roman" w:hAnsi="Times New Roman" w:cs="Times New Roman"/>
        </w:rPr>
        <w:t xml:space="preserve">could effectively </w:t>
      </w:r>
      <w:r w:rsidR="0040093F">
        <w:rPr>
          <w:rFonts w:ascii="Times New Roman" w:hAnsi="Times New Roman" w:cs="Times New Roman"/>
        </w:rPr>
        <w:t>“repatriat</w:t>
      </w:r>
      <w:r w:rsidR="00123B53">
        <w:rPr>
          <w:rFonts w:ascii="Times New Roman" w:hAnsi="Times New Roman" w:cs="Times New Roman"/>
        </w:rPr>
        <w:t>e</w:t>
      </w:r>
      <w:r w:rsidR="0040093F">
        <w:rPr>
          <w:rFonts w:ascii="Times New Roman" w:hAnsi="Times New Roman" w:cs="Times New Roman"/>
        </w:rPr>
        <w:t xml:space="preserve">” </w:t>
      </w:r>
      <w:r w:rsidR="00123B53">
        <w:rPr>
          <w:rFonts w:ascii="Times New Roman" w:hAnsi="Times New Roman" w:cs="Times New Roman"/>
        </w:rPr>
        <w:t>untaxed</w:t>
      </w:r>
      <w:r w:rsidR="00C77095">
        <w:rPr>
          <w:rFonts w:ascii="Times New Roman" w:hAnsi="Times New Roman" w:cs="Times New Roman"/>
        </w:rPr>
        <w:t xml:space="preserve"> </w:t>
      </w:r>
      <w:r w:rsidR="004D0E9C">
        <w:rPr>
          <w:rFonts w:ascii="Times New Roman" w:hAnsi="Times New Roman" w:cs="Times New Roman"/>
        </w:rPr>
        <w:t>E&amp;P</w:t>
      </w:r>
      <w:r w:rsidR="00F34D8F">
        <w:rPr>
          <w:rFonts w:ascii="Times New Roman" w:hAnsi="Times New Roman" w:cs="Times New Roman"/>
        </w:rPr>
        <w:t xml:space="preserve"> of a</w:t>
      </w:r>
      <w:r w:rsidR="00B90554">
        <w:rPr>
          <w:rFonts w:ascii="Times New Roman" w:hAnsi="Times New Roman" w:cs="Times New Roman"/>
        </w:rPr>
        <w:t xml:space="preserve"> CFC </w:t>
      </w:r>
      <w:r w:rsidR="00593F20">
        <w:rPr>
          <w:rFonts w:ascii="Times New Roman" w:hAnsi="Times New Roman" w:cs="Times New Roman"/>
        </w:rPr>
        <w:t>at</w:t>
      </w:r>
      <w:r w:rsidR="004D0E9C">
        <w:rPr>
          <w:rFonts w:ascii="Times New Roman" w:hAnsi="Times New Roman" w:cs="Times New Roman"/>
        </w:rPr>
        <w:t xml:space="preserve"> </w:t>
      </w:r>
      <w:r w:rsidR="00C27564">
        <w:rPr>
          <w:rFonts w:ascii="Times New Roman" w:hAnsi="Times New Roman" w:cs="Times New Roman"/>
        </w:rPr>
        <w:t xml:space="preserve">lower </w:t>
      </w:r>
      <w:r w:rsidR="004D0E9C">
        <w:rPr>
          <w:rFonts w:ascii="Times New Roman" w:hAnsi="Times New Roman" w:cs="Times New Roman"/>
        </w:rPr>
        <w:t>capital gain</w:t>
      </w:r>
      <w:r w:rsidR="00593F20">
        <w:rPr>
          <w:rFonts w:ascii="Times New Roman" w:hAnsi="Times New Roman" w:cs="Times New Roman"/>
        </w:rPr>
        <w:t xml:space="preserve"> rates, rather than</w:t>
      </w:r>
      <w:r w:rsidR="00C27564">
        <w:rPr>
          <w:rFonts w:ascii="Times New Roman" w:hAnsi="Times New Roman" w:cs="Times New Roman"/>
        </w:rPr>
        <w:t xml:space="preserve"> higher</w:t>
      </w:r>
      <w:r w:rsidR="00593F20">
        <w:rPr>
          <w:rFonts w:ascii="Times New Roman" w:hAnsi="Times New Roman" w:cs="Times New Roman"/>
        </w:rPr>
        <w:t xml:space="preserve"> ordinary income rates, through a taxable sale </w:t>
      </w:r>
      <w:r w:rsidR="00F34D8F">
        <w:rPr>
          <w:rFonts w:ascii="Times New Roman" w:hAnsi="Times New Roman" w:cs="Times New Roman"/>
        </w:rPr>
        <w:t xml:space="preserve">or </w:t>
      </w:r>
      <w:r w:rsidR="00FF2C3E">
        <w:rPr>
          <w:rFonts w:ascii="Times New Roman" w:hAnsi="Times New Roman" w:cs="Times New Roman"/>
        </w:rPr>
        <w:t xml:space="preserve">taxable </w:t>
      </w:r>
      <w:r w:rsidR="00F34D8F">
        <w:rPr>
          <w:rFonts w:ascii="Times New Roman" w:hAnsi="Times New Roman" w:cs="Times New Roman"/>
        </w:rPr>
        <w:t>liquidation</w:t>
      </w:r>
      <w:r w:rsidR="007D5A3A">
        <w:rPr>
          <w:rFonts w:ascii="Times New Roman" w:hAnsi="Times New Roman" w:cs="Times New Roman"/>
        </w:rPr>
        <w:t xml:space="preserve"> of the CFC</w:t>
      </w:r>
      <w:r w:rsidR="006570F6">
        <w:rPr>
          <w:rFonts w:ascii="Times New Roman" w:hAnsi="Times New Roman" w:cs="Times New Roman"/>
        </w:rPr>
        <w:t>.</w:t>
      </w:r>
      <w:r w:rsidR="00FF2C3E">
        <w:rPr>
          <w:rStyle w:val="FootnoteReference"/>
          <w:rFonts w:ascii="Times New Roman" w:hAnsi="Times New Roman" w:cs="Times New Roman"/>
        </w:rPr>
        <w:footnoteReference w:id="24"/>
      </w:r>
      <w:r w:rsidR="006570F6">
        <w:rPr>
          <w:rFonts w:ascii="Times New Roman" w:hAnsi="Times New Roman" w:cs="Times New Roman"/>
        </w:rPr>
        <w:t xml:space="preserve"> </w:t>
      </w:r>
      <w:r w:rsidR="004B2C72">
        <w:rPr>
          <w:rFonts w:ascii="Times New Roman" w:hAnsi="Times New Roman" w:cs="Times New Roman"/>
        </w:rPr>
        <w:t xml:space="preserve">While Congress would permit taxpayers to delay </w:t>
      </w:r>
      <w:r w:rsidR="00DC09F5">
        <w:rPr>
          <w:rFonts w:ascii="Times New Roman" w:hAnsi="Times New Roman" w:cs="Times New Roman"/>
        </w:rPr>
        <w:t>recognizing CFC income</w:t>
      </w:r>
      <w:r w:rsidR="004B2C72">
        <w:rPr>
          <w:rFonts w:ascii="Times New Roman" w:hAnsi="Times New Roman" w:cs="Times New Roman"/>
        </w:rPr>
        <w:t xml:space="preserve">, changing </w:t>
      </w:r>
      <w:r w:rsidR="00DC09F5">
        <w:rPr>
          <w:rFonts w:ascii="Times New Roman" w:hAnsi="Times New Roman" w:cs="Times New Roman"/>
        </w:rPr>
        <w:t>its character,</w:t>
      </w:r>
      <w:r w:rsidR="004B2C72">
        <w:rPr>
          <w:rFonts w:ascii="Times New Roman" w:hAnsi="Times New Roman" w:cs="Times New Roman"/>
        </w:rPr>
        <w:t xml:space="preserve"> once recognized, was a bridge too far. </w:t>
      </w:r>
      <w:r w:rsidR="00B531B6">
        <w:rPr>
          <w:rFonts w:ascii="Times New Roman" w:hAnsi="Times New Roman" w:cs="Times New Roman"/>
        </w:rPr>
        <w:t>Code Sec.</w:t>
      </w:r>
      <w:r w:rsidR="006570F6">
        <w:rPr>
          <w:rFonts w:ascii="Times New Roman" w:hAnsi="Times New Roman" w:cs="Times New Roman"/>
        </w:rPr>
        <w:t xml:space="preserve"> 1248 was enacted to </w:t>
      </w:r>
      <w:r w:rsidR="00D92FA4">
        <w:rPr>
          <w:rFonts w:ascii="Times New Roman" w:hAnsi="Times New Roman" w:cs="Times New Roman"/>
        </w:rPr>
        <w:t xml:space="preserve">impose </w:t>
      </w:r>
      <w:r w:rsidR="006570F6">
        <w:rPr>
          <w:rFonts w:ascii="Times New Roman" w:hAnsi="Times New Roman" w:cs="Times New Roman"/>
        </w:rPr>
        <w:t xml:space="preserve">the </w:t>
      </w:r>
      <w:r w:rsidR="00D92FA4">
        <w:rPr>
          <w:rFonts w:ascii="Times New Roman" w:hAnsi="Times New Roman" w:cs="Times New Roman"/>
        </w:rPr>
        <w:t>“full U.S. tax” on income earned abroad</w:t>
      </w:r>
      <w:r w:rsidR="00FF2C3E">
        <w:rPr>
          <w:rFonts w:ascii="Times New Roman" w:hAnsi="Times New Roman" w:cs="Times New Roman"/>
        </w:rPr>
        <w:t xml:space="preserve">, </w:t>
      </w:r>
      <w:r w:rsidR="007D5A3A">
        <w:rPr>
          <w:rFonts w:ascii="Times New Roman" w:hAnsi="Times New Roman" w:cs="Times New Roman"/>
        </w:rPr>
        <w:t xml:space="preserve">once repatriated, </w:t>
      </w:r>
      <w:r w:rsidR="00590D8B">
        <w:rPr>
          <w:rFonts w:ascii="Times New Roman" w:hAnsi="Times New Roman" w:cs="Times New Roman"/>
        </w:rPr>
        <w:t>by whatever means</w:t>
      </w:r>
      <w:r w:rsidR="0040093F">
        <w:rPr>
          <w:rFonts w:ascii="Times New Roman" w:hAnsi="Times New Roman" w:cs="Times New Roman"/>
        </w:rPr>
        <w:t xml:space="preserve"> (</w:t>
      </w:r>
      <w:r w:rsidR="00590D8B">
        <w:rPr>
          <w:rFonts w:ascii="Times New Roman" w:hAnsi="Times New Roman" w:cs="Times New Roman"/>
        </w:rPr>
        <w:t>including constructively through</w:t>
      </w:r>
      <w:r w:rsidR="0040093F">
        <w:rPr>
          <w:rFonts w:ascii="Times New Roman" w:hAnsi="Times New Roman" w:cs="Times New Roman"/>
        </w:rPr>
        <w:t xml:space="preserve"> a taxable sale or exchange)</w:t>
      </w:r>
      <w:r w:rsidR="00FF2C3E">
        <w:rPr>
          <w:rFonts w:ascii="Times New Roman" w:hAnsi="Times New Roman" w:cs="Times New Roman"/>
        </w:rPr>
        <w:t>.</w:t>
      </w:r>
      <w:r w:rsidR="002D115C">
        <w:rPr>
          <w:rStyle w:val="FootnoteReference"/>
          <w:rFonts w:ascii="Times New Roman" w:hAnsi="Times New Roman" w:cs="Times New Roman"/>
        </w:rPr>
        <w:footnoteReference w:id="25"/>
      </w:r>
    </w:p>
    <w:p w14:paraId="3F3FE462" w14:textId="3DCD215A" w:rsidR="0037056E" w:rsidRDefault="0049684C" w:rsidP="0096648D">
      <w:pPr>
        <w:widowControl w:val="0"/>
        <w:spacing w:after="240" w:line="240" w:lineRule="auto"/>
        <w:rPr>
          <w:rFonts w:ascii="Times New Roman" w:hAnsi="Times New Roman" w:cs="Times New Roman"/>
        </w:rPr>
      </w:pPr>
      <w:r>
        <w:rPr>
          <w:rFonts w:ascii="Times New Roman" w:hAnsi="Times New Roman" w:cs="Times New Roman"/>
        </w:rPr>
        <w:t xml:space="preserve">Code Sec. </w:t>
      </w:r>
      <w:r w:rsidR="00CD3BAC" w:rsidRPr="00A93728">
        <w:rPr>
          <w:rFonts w:ascii="Times New Roman" w:hAnsi="Times New Roman" w:cs="Times New Roman"/>
        </w:rPr>
        <w:t>1248</w:t>
      </w:r>
      <w:r w:rsidR="00222781">
        <w:rPr>
          <w:rFonts w:ascii="Times New Roman" w:hAnsi="Times New Roman" w:cs="Times New Roman"/>
        </w:rPr>
        <w:t>,</w:t>
      </w:r>
      <w:r w:rsidR="00C43FB9">
        <w:rPr>
          <w:rFonts w:ascii="Times New Roman" w:hAnsi="Times New Roman" w:cs="Times New Roman"/>
        </w:rPr>
        <w:t xml:space="preserve"> if</w:t>
      </w:r>
      <w:r w:rsidR="00222781">
        <w:rPr>
          <w:rFonts w:ascii="Times New Roman" w:hAnsi="Times New Roman" w:cs="Times New Roman"/>
        </w:rPr>
        <w:t xml:space="preserve"> applicable,</w:t>
      </w:r>
      <w:r w:rsidR="00CD3BAC" w:rsidRPr="00A93728">
        <w:rPr>
          <w:rFonts w:ascii="Times New Roman" w:hAnsi="Times New Roman" w:cs="Times New Roman"/>
        </w:rPr>
        <w:t xml:space="preserve"> recharacterizes </w:t>
      </w:r>
      <w:r w:rsidR="00222781">
        <w:rPr>
          <w:rFonts w:ascii="Times New Roman" w:hAnsi="Times New Roman" w:cs="Times New Roman"/>
        </w:rPr>
        <w:t xml:space="preserve">a shareholder’s gain </w:t>
      </w:r>
      <w:r w:rsidR="00CD3BAC" w:rsidRPr="00A93728">
        <w:rPr>
          <w:rFonts w:ascii="Times New Roman" w:hAnsi="Times New Roman" w:cs="Times New Roman"/>
        </w:rPr>
        <w:t xml:space="preserve">on the sale </w:t>
      </w:r>
      <w:r w:rsidR="00CD3BAC">
        <w:rPr>
          <w:rFonts w:ascii="Times New Roman" w:hAnsi="Times New Roman" w:cs="Times New Roman"/>
        </w:rPr>
        <w:t xml:space="preserve">of stock of </w:t>
      </w:r>
      <w:r w:rsidR="00222781">
        <w:rPr>
          <w:rFonts w:ascii="Times New Roman" w:hAnsi="Times New Roman" w:cs="Times New Roman"/>
        </w:rPr>
        <w:t xml:space="preserve">a foreign corporation </w:t>
      </w:r>
      <w:r w:rsidR="00CD3BAC" w:rsidRPr="00A93728">
        <w:rPr>
          <w:rFonts w:ascii="Times New Roman" w:hAnsi="Times New Roman" w:cs="Times New Roman"/>
        </w:rPr>
        <w:t xml:space="preserve">as a dividend to the extent of </w:t>
      </w:r>
      <w:r w:rsidR="00222781">
        <w:rPr>
          <w:rFonts w:ascii="Times New Roman" w:hAnsi="Times New Roman" w:cs="Times New Roman"/>
        </w:rPr>
        <w:t xml:space="preserve">the </w:t>
      </w:r>
      <w:r w:rsidR="00CD3BAC" w:rsidRPr="00A93728">
        <w:rPr>
          <w:rFonts w:ascii="Times New Roman" w:hAnsi="Times New Roman" w:cs="Times New Roman"/>
        </w:rPr>
        <w:t xml:space="preserve">E&amp;P attributable to </w:t>
      </w:r>
      <w:r w:rsidR="00222781" w:rsidRPr="00A93728">
        <w:rPr>
          <w:rFonts w:ascii="Times New Roman" w:hAnsi="Times New Roman" w:cs="Times New Roman"/>
        </w:rPr>
        <w:t>th</w:t>
      </w:r>
      <w:r w:rsidR="00222781">
        <w:rPr>
          <w:rFonts w:ascii="Times New Roman" w:hAnsi="Times New Roman" w:cs="Times New Roman"/>
        </w:rPr>
        <w:t>at</w:t>
      </w:r>
      <w:r w:rsidR="00222781" w:rsidRPr="00A93728">
        <w:rPr>
          <w:rFonts w:ascii="Times New Roman" w:hAnsi="Times New Roman" w:cs="Times New Roman"/>
        </w:rPr>
        <w:t xml:space="preserve"> </w:t>
      </w:r>
      <w:r w:rsidR="00CD3BAC" w:rsidRPr="00A93728">
        <w:rPr>
          <w:rFonts w:ascii="Times New Roman" w:hAnsi="Times New Roman" w:cs="Times New Roman"/>
        </w:rPr>
        <w:t>stock</w:t>
      </w:r>
      <w:r w:rsidR="008867B6">
        <w:rPr>
          <w:rFonts w:ascii="Times New Roman" w:hAnsi="Times New Roman" w:cs="Times New Roman"/>
        </w:rPr>
        <w:t xml:space="preserve">. </w:t>
      </w:r>
      <w:r w:rsidR="00762D69">
        <w:rPr>
          <w:rFonts w:ascii="Times New Roman" w:hAnsi="Times New Roman" w:cs="Times New Roman"/>
        </w:rPr>
        <w:t>Code Sec.</w:t>
      </w:r>
      <w:r w:rsidR="00762D69" w:rsidRPr="00A93728">
        <w:rPr>
          <w:rFonts w:ascii="Times New Roman" w:hAnsi="Times New Roman" w:cs="Times New Roman"/>
        </w:rPr>
        <w:t xml:space="preserve"> </w:t>
      </w:r>
      <w:r w:rsidR="005D6F11" w:rsidRPr="00A93728">
        <w:rPr>
          <w:rFonts w:ascii="Times New Roman" w:hAnsi="Times New Roman" w:cs="Times New Roman"/>
        </w:rPr>
        <w:t xml:space="preserve">1248 applies </w:t>
      </w:r>
      <w:r w:rsidR="00E820F5">
        <w:rPr>
          <w:rFonts w:ascii="Times New Roman" w:hAnsi="Times New Roman" w:cs="Times New Roman"/>
        </w:rPr>
        <w:t>to the sale of the stock of a foreign corporation by a U</w:t>
      </w:r>
      <w:r w:rsidR="005D6F11" w:rsidRPr="00A93728">
        <w:rPr>
          <w:rFonts w:ascii="Times New Roman" w:hAnsi="Times New Roman" w:cs="Times New Roman"/>
        </w:rPr>
        <w:t xml:space="preserve">.S. person </w:t>
      </w:r>
      <w:r w:rsidR="00E820F5">
        <w:rPr>
          <w:rFonts w:ascii="Times New Roman" w:hAnsi="Times New Roman" w:cs="Times New Roman"/>
        </w:rPr>
        <w:t>that</w:t>
      </w:r>
      <w:r w:rsidR="005D6F11" w:rsidRPr="00A93728">
        <w:rPr>
          <w:rFonts w:ascii="Times New Roman" w:hAnsi="Times New Roman" w:cs="Times New Roman"/>
        </w:rPr>
        <w:t xml:space="preserve"> owns</w:t>
      </w:r>
      <w:r w:rsidR="003D3A56">
        <w:rPr>
          <w:rFonts w:ascii="Times New Roman" w:hAnsi="Times New Roman" w:cs="Times New Roman"/>
        </w:rPr>
        <w:t xml:space="preserve"> (within the meaning of section 958(a) or (b)) </w:t>
      </w:r>
      <w:r w:rsidR="00907104">
        <w:rPr>
          <w:rFonts w:ascii="Times New Roman" w:hAnsi="Times New Roman" w:cs="Times New Roman"/>
        </w:rPr>
        <w:t>ten</w:t>
      </w:r>
      <w:r w:rsidR="00907104" w:rsidRPr="00A93728">
        <w:rPr>
          <w:rFonts w:ascii="Times New Roman" w:hAnsi="Times New Roman" w:cs="Times New Roman"/>
        </w:rPr>
        <w:t xml:space="preserve"> </w:t>
      </w:r>
      <w:r w:rsidR="005D6F11" w:rsidRPr="00A93728">
        <w:rPr>
          <w:rFonts w:ascii="Times New Roman" w:hAnsi="Times New Roman" w:cs="Times New Roman"/>
        </w:rPr>
        <w:t>percent o</w:t>
      </w:r>
      <w:r w:rsidR="00C520D9">
        <w:rPr>
          <w:rFonts w:ascii="Times New Roman" w:hAnsi="Times New Roman" w:cs="Times New Roman"/>
        </w:rPr>
        <w:t>r</w:t>
      </w:r>
      <w:r w:rsidR="005D6F11" w:rsidRPr="00A93728">
        <w:rPr>
          <w:rFonts w:ascii="Times New Roman" w:hAnsi="Times New Roman" w:cs="Times New Roman"/>
        </w:rPr>
        <w:t xml:space="preserve"> more of the total combined voting power </w:t>
      </w:r>
      <w:r w:rsidR="003D3A56">
        <w:rPr>
          <w:rFonts w:ascii="Times New Roman" w:hAnsi="Times New Roman" w:cs="Times New Roman"/>
        </w:rPr>
        <w:t>of the</w:t>
      </w:r>
      <w:r w:rsidR="005D6F11" w:rsidRPr="00A93728">
        <w:rPr>
          <w:rFonts w:ascii="Times New Roman" w:hAnsi="Times New Roman" w:cs="Times New Roman"/>
        </w:rPr>
        <w:t xml:space="preserve"> foreign corporation at any time during the </w:t>
      </w:r>
      <w:r w:rsidR="007110ED">
        <w:rPr>
          <w:rFonts w:ascii="Times New Roman" w:hAnsi="Times New Roman" w:cs="Times New Roman"/>
        </w:rPr>
        <w:t>five</w:t>
      </w:r>
      <w:r w:rsidR="005D6F11" w:rsidRPr="00A93728">
        <w:rPr>
          <w:rFonts w:ascii="Times New Roman" w:hAnsi="Times New Roman" w:cs="Times New Roman"/>
        </w:rPr>
        <w:t xml:space="preserve">-year period ending on the date of the sale or exchange </w:t>
      </w:r>
      <w:r>
        <w:rPr>
          <w:rFonts w:ascii="Times New Roman" w:hAnsi="Times New Roman" w:cs="Times New Roman"/>
        </w:rPr>
        <w:t>and at the time of such ownership</w:t>
      </w:r>
      <w:r w:rsidR="005C1C5C" w:rsidRPr="00A93728">
        <w:rPr>
          <w:rFonts w:ascii="Times New Roman" w:hAnsi="Times New Roman" w:cs="Times New Roman"/>
        </w:rPr>
        <w:t xml:space="preserve"> </w:t>
      </w:r>
      <w:r w:rsidR="005D6F11" w:rsidRPr="00A93728">
        <w:rPr>
          <w:rFonts w:ascii="Times New Roman" w:hAnsi="Times New Roman" w:cs="Times New Roman"/>
        </w:rPr>
        <w:t>the foreign corporation was a CFC</w:t>
      </w:r>
      <w:r>
        <w:rPr>
          <w:rFonts w:ascii="Times New Roman" w:hAnsi="Times New Roman" w:cs="Times New Roman"/>
        </w:rPr>
        <w:t xml:space="preserve"> (such shareholder, a “</w:t>
      </w:r>
      <w:r>
        <w:rPr>
          <w:rFonts w:ascii="Times New Roman" w:hAnsi="Times New Roman" w:cs="Times New Roman"/>
          <w:b/>
          <w:bCs/>
        </w:rPr>
        <w:t>1248 shareholder</w:t>
      </w:r>
      <w:r>
        <w:rPr>
          <w:rFonts w:ascii="Times New Roman" w:hAnsi="Times New Roman" w:cs="Times New Roman"/>
        </w:rPr>
        <w:t>”)</w:t>
      </w:r>
      <w:r w:rsidR="005D6F11" w:rsidRPr="00A93728">
        <w:rPr>
          <w:rFonts w:ascii="Times New Roman" w:hAnsi="Times New Roman" w:cs="Times New Roman"/>
        </w:rPr>
        <w:t>.</w:t>
      </w:r>
      <w:r w:rsidR="005D6F11" w:rsidRPr="00A93728">
        <w:rPr>
          <w:rStyle w:val="FootnoteReference"/>
          <w:rFonts w:ascii="Times New Roman" w:hAnsi="Times New Roman" w:cs="Times New Roman"/>
        </w:rPr>
        <w:footnoteReference w:id="26"/>
      </w:r>
      <w:r w:rsidR="005D6F11" w:rsidRPr="00A93728">
        <w:rPr>
          <w:rFonts w:ascii="Times New Roman" w:hAnsi="Times New Roman" w:cs="Times New Roman"/>
        </w:rPr>
        <w:t xml:space="preserve"> </w:t>
      </w:r>
      <w:r w:rsidR="00994770" w:rsidRPr="00994770">
        <w:rPr>
          <w:rFonts w:ascii="Times New Roman" w:hAnsi="Times New Roman" w:cs="Times New Roman"/>
        </w:rPr>
        <w:t>A dividend under Code Sec. 1248 does not reduce E&amp;P, but the E&amp;P taken into account in computing the dividend under Code Sec. 1248 are treated as PTEP.</w:t>
      </w:r>
      <w:r w:rsidR="00994770" w:rsidRPr="00A93728">
        <w:rPr>
          <w:rStyle w:val="FootnoteReference"/>
          <w:rFonts w:ascii="Times New Roman" w:hAnsi="Times New Roman" w:cs="Times New Roman"/>
        </w:rPr>
        <w:footnoteReference w:id="27"/>
      </w:r>
      <w:r w:rsidR="00994770" w:rsidRPr="00A93728">
        <w:rPr>
          <w:rFonts w:ascii="Times New Roman" w:hAnsi="Times New Roman" w:cs="Times New Roman"/>
        </w:rPr>
        <w:t xml:space="preserve"> </w:t>
      </w:r>
      <w:r w:rsidR="0037056E" w:rsidRPr="0037056E">
        <w:rPr>
          <w:rFonts w:ascii="Times New Roman" w:hAnsi="Times New Roman" w:cs="Times New Roman"/>
        </w:rPr>
        <w:t>The principles of Code Sec. 1248 also apply to sales by CFCs of lower-tier foreign corporations.</w:t>
      </w:r>
      <w:r w:rsidR="0037056E" w:rsidRPr="00A93728">
        <w:rPr>
          <w:rStyle w:val="FootnoteReference"/>
          <w:rFonts w:ascii="Times New Roman" w:hAnsi="Times New Roman" w:cs="Times New Roman"/>
        </w:rPr>
        <w:footnoteReference w:id="28"/>
      </w:r>
    </w:p>
    <w:p w14:paraId="7CF1AB4D" w14:textId="4F2ABB3A" w:rsidR="0074066F" w:rsidRDefault="00043B05" w:rsidP="0096648D">
      <w:pPr>
        <w:widowControl w:val="0"/>
        <w:spacing w:after="240" w:line="240" w:lineRule="auto"/>
        <w:rPr>
          <w:rFonts w:ascii="Times New Roman" w:hAnsi="Times New Roman" w:cs="Times New Roman"/>
        </w:rPr>
      </w:pPr>
      <w:r>
        <w:rPr>
          <w:rFonts w:ascii="Times New Roman" w:hAnsi="Times New Roman" w:cs="Times New Roman"/>
        </w:rPr>
        <w:t xml:space="preserve">The E&amp;P </w:t>
      </w:r>
      <w:r w:rsidR="00A5675A">
        <w:rPr>
          <w:rFonts w:ascii="Times New Roman" w:hAnsi="Times New Roman" w:cs="Times New Roman"/>
        </w:rPr>
        <w:t xml:space="preserve">of a foreign corporation </w:t>
      </w:r>
      <w:r w:rsidR="004B66D9">
        <w:rPr>
          <w:rFonts w:ascii="Times New Roman" w:hAnsi="Times New Roman" w:cs="Times New Roman"/>
        </w:rPr>
        <w:t>that may be attributed to a 1248 shareholder are</w:t>
      </w:r>
      <w:r w:rsidR="00762D69">
        <w:rPr>
          <w:rFonts w:ascii="Times New Roman" w:hAnsi="Times New Roman" w:cs="Times New Roman"/>
        </w:rPr>
        <w:t xml:space="preserve"> the</w:t>
      </w:r>
      <w:r w:rsidR="00255C73">
        <w:rPr>
          <w:rFonts w:ascii="Times New Roman" w:hAnsi="Times New Roman" w:cs="Times New Roman"/>
        </w:rPr>
        <w:t xml:space="preserve"> post-1962 E&amp;P</w:t>
      </w:r>
      <w:r w:rsidR="00255C73" w:rsidRPr="00255C73">
        <w:t xml:space="preserve"> </w:t>
      </w:r>
      <w:r w:rsidR="00255C73" w:rsidRPr="00255C73">
        <w:rPr>
          <w:rFonts w:ascii="Times New Roman" w:hAnsi="Times New Roman" w:cs="Times New Roman"/>
        </w:rPr>
        <w:t xml:space="preserve">accumulated </w:t>
      </w:r>
      <w:r w:rsidR="00255C73">
        <w:rPr>
          <w:rFonts w:ascii="Times New Roman" w:hAnsi="Times New Roman" w:cs="Times New Roman"/>
        </w:rPr>
        <w:t xml:space="preserve">by the foreign corporation </w:t>
      </w:r>
      <w:r w:rsidR="00255C73" w:rsidRPr="00255C73">
        <w:rPr>
          <w:rFonts w:ascii="Times New Roman" w:hAnsi="Times New Roman" w:cs="Times New Roman"/>
        </w:rPr>
        <w:t xml:space="preserve">during the period or periods such stock was held (or was considered as held by reason of the application of </w:t>
      </w:r>
      <w:r w:rsidR="00E41B0F">
        <w:rPr>
          <w:rFonts w:ascii="Times New Roman" w:hAnsi="Times New Roman" w:cs="Times New Roman"/>
        </w:rPr>
        <w:t xml:space="preserve">Code Sec. </w:t>
      </w:r>
      <w:r w:rsidR="00255C73" w:rsidRPr="00255C73">
        <w:rPr>
          <w:rFonts w:ascii="Times New Roman" w:hAnsi="Times New Roman" w:cs="Times New Roman"/>
        </w:rPr>
        <w:t xml:space="preserve">1223, and taking into account </w:t>
      </w:r>
      <w:r w:rsidR="00E41B0F">
        <w:rPr>
          <w:rFonts w:ascii="Times New Roman" w:hAnsi="Times New Roman" w:cs="Times New Roman"/>
        </w:rPr>
        <w:t xml:space="preserve">Reg. </w:t>
      </w:r>
      <w:r w:rsidR="00255C73" w:rsidRPr="00255C73">
        <w:rPr>
          <w:rFonts w:ascii="Times New Roman" w:hAnsi="Times New Roman" w:cs="Times New Roman"/>
        </w:rPr>
        <w:t>§1.1248-8) by such shareholder while such corporation was a CFC</w:t>
      </w:r>
      <w:r w:rsidR="00E87345">
        <w:rPr>
          <w:rFonts w:ascii="Times New Roman" w:hAnsi="Times New Roman" w:cs="Times New Roman"/>
        </w:rPr>
        <w:t>, but excluding</w:t>
      </w:r>
      <w:r w:rsidR="00F34618">
        <w:rPr>
          <w:rFonts w:ascii="Times New Roman" w:hAnsi="Times New Roman" w:cs="Times New Roman"/>
        </w:rPr>
        <w:t xml:space="preserve"> </w:t>
      </w:r>
      <w:r w:rsidR="00E87345" w:rsidRPr="00994770">
        <w:rPr>
          <w:rFonts w:ascii="Times New Roman" w:hAnsi="Times New Roman" w:cs="Times New Roman"/>
        </w:rPr>
        <w:t>PTEP</w:t>
      </w:r>
      <w:r w:rsidR="00E87345">
        <w:rPr>
          <w:rFonts w:ascii="Times New Roman" w:hAnsi="Times New Roman" w:cs="Times New Roman"/>
        </w:rPr>
        <w:t xml:space="preserve"> and E&amp;P attributable to income effectively connected to a U.S. trade or business (“</w:t>
      </w:r>
      <w:r w:rsidR="00E87345" w:rsidRPr="00F413FA">
        <w:rPr>
          <w:rFonts w:ascii="Times New Roman" w:hAnsi="Times New Roman" w:cs="Times New Roman"/>
          <w:b/>
          <w:bCs/>
        </w:rPr>
        <w:t>effectively connected income</w:t>
      </w:r>
      <w:r w:rsidR="00E87345">
        <w:rPr>
          <w:rFonts w:ascii="Times New Roman" w:hAnsi="Times New Roman" w:cs="Times New Roman"/>
        </w:rPr>
        <w:t>” or “</w:t>
      </w:r>
      <w:r w:rsidR="00E87345" w:rsidRPr="00F413FA">
        <w:rPr>
          <w:rFonts w:ascii="Times New Roman" w:hAnsi="Times New Roman" w:cs="Times New Roman"/>
          <w:b/>
          <w:bCs/>
        </w:rPr>
        <w:t>ECI</w:t>
      </w:r>
      <w:r w:rsidR="00E87345">
        <w:rPr>
          <w:rFonts w:ascii="Times New Roman" w:hAnsi="Times New Roman" w:cs="Times New Roman"/>
        </w:rPr>
        <w:t>”)</w:t>
      </w:r>
      <w:r w:rsidR="00E87345" w:rsidRPr="00E87345">
        <w:rPr>
          <w:rFonts w:ascii="Times New Roman" w:hAnsi="Times New Roman" w:cs="Times New Roman"/>
        </w:rPr>
        <w:t xml:space="preserve"> </w:t>
      </w:r>
      <w:r w:rsidR="00E87345">
        <w:rPr>
          <w:rFonts w:ascii="Times New Roman" w:hAnsi="Times New Roman" w:cs="Times New Roman"/>
        </w:rPr>
        <w:t>(such E&amp;P, “</w:t>
      </w:r>
      <w:r w:rsidR="00E87345" w:rsidRPr="002815CD">
        <w:rPr>
          <w:rFonts w:ascii="Times New Roman" w:hAnsi="Times New Roman" w:cs="Times New Roman"/>
          <w:b/>
          <w:bCs/>
        </w:rPr>
        <w:t>1248 E&amp;P</w:t>
      </w:r>
      <w:r w:rsidR="00E87345">
        <w:rPr>
          <w:rFonts w:ascii="Times New Roman" w:hAnsi="Times New Roman" w:cs="Times New Roman"/>
        </w:rPr>
        <w:t>”).</w:t>
      </w:r>
      <w:r w:rsidR="00E87345">
        <w:rPr>
          <w:rStyle w:val="FootnoteReference"/>
          <w:rFonts w:ascii="Times New Roman" w:hAnsi="Times New Roman" w:cs="Times New Roman"/>
        </w:rPr>
        <w:footnoteReference w:id="29"/>
      </w:r>
      <w:r w:rsidR="00E87345">
        <w:rPr>
          <w:rFonts w:ascii="Times New Roman" w:hAnsi="Times New Roman" w:cs="Times New Roman"/>
        </w:rPr>
        <w:t xml:space="preserve"> </w:t>
      </w:r>
      <w:r w:rsidR="0037056E">
        <w:rPr>
          <w:rFonts w:ascii="Times New Roman" w:hAnsi="Times New Roman" w:cs="Times New Roman"/>
        </w:rPr>
        <w:t xml:space="preserve">In addition, </w:t>
      </w:r>
      <w:r w:rsidR="00E87345">
        <w:rPr>
          <w:rFonts w:ascii="Times New Roman" w:hAnsi="Times New Roman" w:cs="Times New Roman"/>
        </w:rPr>
        <w:t xml:space="preserve">1248 E&amp;P attributable to stock </w:t>
      </w:r>
      <w:r w:rsidR="004C2852">
        <w:rPr>
          <w:rFonts w:ascii="Times New Roman" w:hAnsi="Times New Roman" w:cs="Times New Roman"/>
        </w:rPr>
        <w:t>in</w:t>
      </w:r>
      <w:r w:rsidR="00E87345">
        <w:rPr>
          <w:rFonts w:ascii="Times New Roman" w:hAnsi="Times New Roman" w:cs="Times New Roman"/>
        </w:rPr>
        <w:t xml:space="preserve"> a</w:t>
      </w:r>
      <w:r w:rsidR="00DB3102">
        <w:rPr>
          <w:rFonts w:ascii="Times New Roman" w:hAnsi="Times New Roman" w:cs="Times New Roman"/>
        </w:rPr>
        <w:t xml:space="preserve">n upper-tier foreign </w:t>
      </w:r>
      <w:r w:rsidR="00E87345">
        <w:rPr>
          <w:rFonts w:ascii="Times New Roman" w:hAnsi="Times New Roman" w:cs="Times New Roman"/>
        </w:rPr>
        <w:t xml:space="preserve">corporation </w:t>
      </w:r>
      <w:r w:rsidR="004C2852">
        <w:rPr>
          <w:rFonts w:ascii="Times New Roman" w:hAnsi="Times New Roman" w:cs="Times New Roman"/>
        </w:rPr>
        <w:t>owned (within the meaning of Code Sec. 958(a)) by a 1248 shareholder</w:t>
      </w:r>
      <w:r w:rsidR="00E87345">
        <w:rPr>
          <w:rFonts w:ascii="Times New Roman" w:hAnsi="Times New Roman" w:cs="Times New Roman"/>
        </w:rPr>
        <w:t xml:space="preserve"> includes the 1248 E&amp;P of</w:t>
      </w:r>
      <w:r w:rsidR="004C2852">
        <w:rPr>
          <w:rFonts w:ascii="Times New Roman" w:hAnsi="Times New Roman" w:cs="Times New Roman"/>
        </w:rPr>
        <w:t xml:space="preserve"> </w:t>
      </w:r>
      <w:r w:rsidR="00F13A9C">
        <w:rPr>
          <w:rFonts w:ascii="Times New Roman" w:hAnsi="Times New Roman" w:cs="Times New Roman"/>
        </w:rPr>
        <w:t xml:space="preserve">a </w:t>
      </w:r>
      <w:r w:rsidR="00DB3102">
        <w:rPr>
          <w:rFonts w:ascii="Times New Roman" w:hAnsi="Times New Roman" w:cs="Times New Roman"/>
        </w:rPr>
        <w:t>lower-tier foreign corporation</w:t>
      </w:r>
      <w:r w:rsidR="00447887">
        <w:rPr>
          <w:rFonts w:ascii="Times New Roman" w:hAnsi="Times New Roman" w:cs="Times New Roman"/>
        </w:rPr>
        <w:t xml:space="preserve"> </w:t>
      </w:r>
      <w:r w:rsidR="00E41B0F">
        <w:rPr>
          <w:rFonts w:ascii="Times New Roman" w:hAnsi="Times New Roman" w:cs="Times New Roman"/>
        </w:rPr>
        <w:t xml:space="preserve">that such shareholder owns </w:t>
      </w:r>
      <w:r w:rsidR="00447887">
        <w:rPr>
          <w:rFonts w:ascii="Times New Roman" w:hAnsi="Times New Roman" w:cs="Times New Roman"/>
        </w:rPr>
        <w:t>indirectly (within the meaning of Code Sec. 958(a)(2)) through such upper-tier foreign corporation</w:t>
      </w:r>
      <w:r w:rsidR="00DB3102">
        <w:rPr>
          <w:rFonts w:ascii="Times New Roman" w:hAnsi="Times New Roman" w:cs="Times New Roman"/>
        </w:rPr>
        <w:t xml:space="preserve">, if the </w:t>
      </w:r>
      <w:r w:rsidR="0095375B">
        <w:rPr>
          <w:rFonts w:ascii="Times New Roman" w:hAnsi="Times New Roman" w:cs="Times New Roman"/>
        </w:rPr>
        <w:t>shareholder</w:t>
      </w:r>
      <w:r w:rsidR="00DB3102">
        <w:rPr>
          <w:rFonts w:ascii="Times New Roman" w:hAnsi="Times New Roman" w:cs="Times New Roman"/>
        </w:rPr>
        <w:t xml:space="preserve"> </w:t>
      </w:r>
      <w:r w:rsidR="004C2852">
        <w:rPr>
          <w:rFonts w:ascii="Times New Roman" w:hAnsi="Times New Roman" w:cs="Times New Roman"/>
        </w:rPr>
        <w:t>owns</w:t>
      </w:r>
      <w:r w:rsidR="0095375B">
        <w:rPr>
          <w:rFonts w:ascii="Times New Roman" w:hAnsi="Times New Roman" w:cs="Times New Roman"/>
        </w:rPr>
        <w:t xml:space="preserve"> (within the meaning of </w:t>
      </w:r>
      <w:r w:rsidR="00447887">
        <w:rPr>
          <w:rFonts w:ascii="Times New Roman" w:hAnsi="Times New Roman" w:cs="Times New Roman"/>
        </w:rPr>
        <w:t>Code Sec.</w:t>
      </w:r>
      <w:r w:rsidR="004C2852">
        <w:rPr>
          <w:rFonts w:ascii="Times New Roman" w:hAnsi="Times New Roman" w:cs="Times New Roman"/>
        </w:rPr>
        <w:t xml:space="preserve"> 958(a</w:t>
      </w:r>
      <w:r w:rsidR="00F13A9C">
        <w:rPr>
          <w:rFonts w:ascii="Times New Roman" w:hAnsi="Times New Roman" w:cs="Times New Roman"/>
        </w:rPr>
        <w:t>) and (b)</w:t>
      </w:r>
      <w:r w:rsidR="00E41B0F">
        <w:rPr>
          <w:rFonts w:ascii="Times New Roman" w:hAnsi="Times New Roman" w:cs="Times New Roman"/>
        </w:rPr>
        <w:t xml:space="preserve">) </w:t>
      </w:r>
      <w:r w:rsidR="004C2852">
        <w:rPr>
          <w:rFonts w:ascii="Times New Roman" w:hAnsi="Times New Roman" w:cs="Times New Roman"/>
        </w:rPr>
        <w:t>ten percent or more of the total combined voting power of the lower-tier foreign corporation at any time during the five</w:t>
      </w:r>
      <w:r w:rsidR="00F13A9C">
        <w:rPr>
          <w:rFonts w:ascii="Times New Roman" w:hAnsi="Times New Roman" w:cs="Times New Roman"/>
        </w:rPr>
        <w:t>-</w:t>
      </w:r>
      <w:r w:rsidR="004C2852">
        <w:rPr>
          <w:rFonts w:ascii="Times New Roman" w:hAnsi="Times New Roman" w:cs="Times New Roman"/>
        </w:rPr>
        <w:t>year period ending on the date of the sale or exchange when the lower-tier foreign corporation was a CFC.</w:t>
      </w:r>
      <w:r w:rsidR="00F34618">
        <w:rPr>
          <w:rStyle w:val="FootnoteReference"/>
          <w:rFonts w:ascii="Times New Roman" w:hAnsi="Times New Roman" w:cs="Times New Roman"/>
        </w:rPr>
        <w:footnoteReference w:id="30"/>
      </w:r>
      <w:r w:rsidR="00F34618">
        <w:rPr>
          <w:rFonts w:ascii="Times New Roman" w:hAnsi="Times New Roman" w:cs="Times New Roman"/>
        </w:rPr>
        <w:t xml:space="preserve"> </w:t>
      </w:r>
      <w:r w:rsidR="00970EB9">
        <w:rPr>
          <w:rFonts w:ascii="Times New Roman" w:hAnsi="Times New Roman" w:cs="Times New Roman"/>
        </w:rPr>
        <w:t>The amount of E&amp;P attributable to</w:t>
      </w:r>
      <w:r w:rsidR="008120BB">
        <w:rPr>
          <w:rFonts w:ascii="Times New Roman" w:hAnsi="Times New Roman" w:cs="Times New Roman"/>
        </w:rPr>
        <w:t xml:space="preserve"> </w:t>
      </w:r>
      <w:r w:rsidR="00970EB9">
        <w:rPr>
          <w:rFonts w:ascii="Times New Roman" w:hAnsi="Times New Roman" w:cs="Times New Roman"/>
        </w:rPr>
        <w:t xml:space="preserve">stock </w:t>
      </w:r>
      <w:r w:rsidR="008120BB">
        <w:rPr>
          <w:rFonts w:ascii="Times New Roman" w:hAnsi="Times New Roman" w:cs="Times New Roman"/>
        </w:rPr>
        <w:t>in</w:t>
      </w:r>
      <w:r w:rsidR="0037056E">
        <w:rPr>
          <w:rFonts w:ascii="Times New Roman" w:hAnsi="Times New Roman" w:cs="Times New Roman"/>
        </w:rPr>
        <w:t xml:space="preserve"> a foreign corporation </w:t>
      </w:r>
      <w:r w:rsidR="00F24FE5">
        <w:rPr>
          <w:rFonts w:ascii="Times New Roman" w:hAnsi="Times New Roman" w:cs="Times New Roman"/>
        </w:rPr>
        <w:t xml:space="preserve">owned by a 1248 shareholder </w:t>
      </w:r>
      <w:r w:rsidR="00970EB9">
        <w:rPr>
          <w:rFonts w:ascii="Times New Roman" w:hAnsi="Times New Roman" w:cs="Times New Roman"/>
        </w:rPr>
        <w:t xml:space="preserve">is generally equal to the sum of the </w:t>
      </w:r>
      <w:r w:rsidR="0037056E">
        <w:rPr>
          <w:rFonts w:ascii="Times New Roman" w:hAnsi="Times New Roman" w:cs="Times New Roman"/>
        </w:rPr>
        <w:t xml:space="preserve">1248 </w:t>
      </w:r>
      <w:r w:rsidR="00970EB9">
        <w:rPr>
          <w:rFonts w:ascii="Times New Roman" w:hAnsi="Times New Roman" w:cs="Times New Roman"/>
        </w:rPr>
        <w:t>E&amp;P accumulated</w:t>
      </w:r>
      <w:r w:rsidR="0037056E">
        <w:rPr>
          <w:rFonts w:ascii="Times New Roman" w:hAnsi="Times New Roman" w:cs="Times New Roman"/>
        </w:rPr>
        <w:t xml:space="preserve"> by the foreign corporation</w:t>
      </w:r>
      <w:r w:rsidR="00970EB9">
        <w:rPr>
          <w:rFonts w:ascii="Times New Roman" w:hAnsi="Times New Roman" w:cs="Times New Roman"/>
        </w:rPr>
        <w:t xml:space="preserve"> during the holding period of the taxpayer, multiplied by </w:t>
      </w:r>
      <w:r w:rsidR="005831B5">
        <w:rPr>
          <w:rFonts w:ascii="Times New Roman" w:hAnsi="Times New Roman" w:cs="Times New Roman"/>
        </w:rPr>
        <w:t xml:space="preserve">the percentage </w:t>
      </w:r>
      <w:r w:rsidR="00150CB2">
        <w:rPr>
          <w:rFonts w:ascii="Times New Roman" w:hAnsi="Times New Roman" w:cs="Times New Roman"/>
        </w:rPr>
        <w:t>that the number of shares</w:t>
      </w:r>
      <w:r w:rsidR="008120BB">
        <w:rPr>
          <w:rFonts w:ascii="Times New Roman" w:hAnsi="Times New Roman" w:cs="Times New Roman"/>
        </w:rPr>
        <w:t xml:space="preserve"> of stock owned by the shareholder</w:t>
      </w:r>
      <w:r w:rsidR="00150CB2">
        <w:rPr>
          <w:rFonts w:ascii="Times New Roman" w:hAnsi="Times New Roman" w:cs="Times New Roman"/>
        </w:rPr>
        <w:t xml:space="preserve"> bears to the total number of </w:t>
      </w:r>
      <w:r w:rsidR="00150CB2">
        <w:rPr>
          <w:rFonts w:ascii="Times New Roman" w:hAnsi="Times New Roman" w:cs="Times New Roman"/>
        </w:rPr>
        <w:lastRenderedPageBreak/>
        <w:t xml:space="preserve">shares </w:t>
      </w:r>
      <w:r w:rsidR="008120BB">
        <w:rPr>
          <w:rFonts w:ascii="Times New Roman" w:hAnsi="Times New Roman" w:cs="Times New Roman"/>
        </w:rPr>
        <w:t xml:space="preserve">in </w:t>
      </w:r>
      <w:r w:rsidR="00150CB2">
        <w:rPr>
          <w:rFonts w:ascii="Times New Roman" w:hAnsi="Times New Roman" w:cs="Times New Roman"/>
        </w:rPr>
        <w:t>the foreign corporation outstanding during that period.</w:t>
      </w:r>
      <w:r w:rsidR="00150CB2">
        <w:rPr>
          <w:rStyle w:val="FootnoteReference"/>
          <w:rFonts w:ascii="Times New Roman" w:hAnsi="Times New Roman" w:cs="Times New Roman"/>
        </w:rPr>
        <w:footnoteReference w:id="31"/>
      </w:r>
    </w:p>
    <w:p w14:paraId="53DB3ED1" w14:textId="1BBF4B81" w:rsidR="00793862" w:rsidRDefault="00F94A1E" w:rsidP="005E68EE">
      <w:pPr>
        <w:pStyle w:val="Heading4"/>
        <w:contextualSpacing w:val="0"/>
      </w:pPr>
      <w:r>
        <w:t xml:space="preserve">U.S. and 1248 </w:t>
      </w:r>
      <w:r w:rsidR="00716B68">
        <w:t>Shareholders</w:t>
      </w:r>
    </w:p>
    <w:p w14:paraId="7A6CF508" w14:textId="4FC2D0E3" w:rsidR="009E11A2" w:rsidRDefault="00793862" w:rsidP="0096648D">
      <w:pPr>
        <w:widowControl w:val="0"/>
        <w:spacing w:after="240" w:line="240" w:lineRule="auto"/>
        <w:rPr>
          <w:rFonts w:ascii="Times New Roman" w:hAnsi="Times New Roman" w:cs="Times New Roman"/>
        </w:rPr>
      </w:pPr>
      <w:r>
        <w:rPr>
          <w:rFonts w:ascii="Times New Roman" w:hAnsi="Times New Roman" w:cs="Times New Roman"/>
        </w:rPr>
        <w:t>As discussed above, the</w:t>
      </w:r>
      <w:r w:rsidR="009E11A2">
        <w:rPr>
          <w:rFonts w:ascii="Times New Roman" w:hAnsi="Times New Roman" w:cs="Times New Roman"/>
        </w:rPr>
        <w:t xml:space="preserve"> concepts of “U.S. shareholder” and “1248 shareholder” are critical for purposes of applying subpart F and Code Sec. 1248, respectively. They are also important concepts for purposes of applying the </w:t>
      </w:r>
      <w:r w:rsidR="004714E0">
        <w:rPr>
          <w:rFonts w:ascii="Times New Roman" w:hAnsi="Times New Roman" w:cs="Times New Roman"/>
        </w:rPr>
        <w:t>367(b) regulations</w:t>
      </w:r>
      <w:r w:rsidR="009E11A2">
        <w:rPr>
          <w:rFonts w:ascii="Times New Roman" w:hAnsi="Times New Roman" w:cs="Times New Roman"/>
        </w:rPr>
        <w:t xml:space="preserve">. For this reason, it is important to understand that, </w:t>
      </w:r>
      <w:r>
        <w:rPr>
          <w:rFonts w:ascii="Times New Roman" w:hAnsi="Times New Roman" w:cs="Times New Roman"/>
        </w:rPr>
        <w:t xml:space="preserve">while </w:t>
      </w:r>
      <w:r w:rsidR="00800AAA">
        <w:rPr>
          <w:rFonts w:ascii="Times New Roman" w:hAnsi="Times New Roman" w:cs="Times New Roman"/>
        </w:rPr>
        <w:t>most</w:t>
      </w:r>
      <w:r w:rsidR="00C75D7F" w:rsidRPr="00C75D7F">
        <w:rPr>
          <w:rFonts w:ascii="Times New Roman" w:hAnsi="Times New Roman" w:cs="Times New Roman"/>
        </w:rPr>
        <w:t xml:space="preserve"> U</w:t>
      </w:r>
      <w:r w:rsidR="00603C0F">
        <w:rPr>
          <w:rFonts w:ascii="Times New Roman" w:hAnsi="Times New Roman" w:cs="Times New Roman"/>
        </w:rPr>
        <w:t>.</w:t>
      </w:r>
      <w:r w:rsidR="00C75D7F" w:rsidRPr="00C75D7F">
        <w:rPr>
          <w:rFonts w:ascii="Times New Roman" w:hAnsi="Times New Roman" w:cs="Times New Roman"/>
        </w:rPr>
        <w:t>S</w:t>
      </w:r>
      <w:r w:rsidR="00603C0F">
        <w:rPr>
          <w:rFonts w:ascii="Times New Roman" w:hAnsi="Times New Roman" w:cs="Times New Roman"/>
        </w:rPr>
        <w:t>.</w:t>
      </w:r>
      <w:r w:rsidR="00C75D7F" w:rsidRPr="00C75D7F">
        <w:rPr>
          <w:rFonts w:ascii="Times New Roman" w:hAnsi="Times New Roman" w:cs="Times New Roman"/>
        </w:rPr>
        <w:t xml:space="preserve"> shareholder</w:t>
      </w:r>
      <w:r w:rsidR="00800AAA">
        <w:rPr>
          <w:rFonts w:ascii="Times New Roman" w:hAnsi="Times New Roman" w:cs="Times New Roman"/>
        </w:rPr>
        <w:t>s</w:t>
      </w:r>
      <w:r w:rsidR="00C75D7F" w:rsidRPr="00C75D7F">
        <w:rPr>
          <w:rFonts w:ascii="Times New Roman" w:hAnsi="Times New Roman" w:cs="Times New Roman"/>
        </w:rPr>
        <w:t xml:space="preserve"> </w:t>
      </w:r>
      <w:r w:rsidR="00800AAA">
        <w:rPr>
          <w:rFonts w:ascii="Times New Roman" w:hAnsi="Times New Roman" w:cs="Times New Roman"/>
        </w:rPr>
        <w:t>are</w:t>
      </w:r>
      <w:r w:rsidR="00C75D7F">
        <w:rPr>
          <w:rFonts w:ascii="Times New Roman" w:hAnsi="Times New Roman" w:cs="Times New Roman"/>
        </w:rPr>
        <w:t xml:space="preserve"> </w:t>
      </w:r>
      <w:r w:rsidR="00C75D7F" w:rsidRPr="00C75D7F">
        <w:rPr>
          <w:rFonts w:ascii="Times New Roman" w:hAnsi="Times New Roman" w:cs="Times New Roman"/>
        </w:rPr>
        <w:t>1248 shareholder</w:t>
      </w:r>
      <w:r w:rsidR="00C90C99">
        <w:rPr>
          <w:rFonts w:ascii="Times New Roman" w:hAnsi="Times New Roman" w:cs="Times New Roman"/>
        </w:rPr>
        <w:t>s</w:t>
      </w:r>
      <w:r w:rsidR="00C75D7F" w:rsidRPr="00C75D7F">
        <w:rPr>
          <w:rFonts w:ascii="Times New Roman" w:hAnsi="Times New Roman" w:cs="Times New Roman"/>
        </w:rPr>
        <w:t xml:space="preserve">, and </w:t>
      </w:r>
      <w:r w:rsidR="00C75D7F" w:rsidRPr="008E2AC8">
        <w:rPr>
          <w:rFonts w:ascii="Times New Roman" w:hAnsi="Times New Roman" w:cs="Times New Roman"/>
          <w:i/>
        </w:rPr>
        <w:t>vice versa</w:t>
      </w:r>
      <w:r w:rsidR="00C75D7F" w:rsidRPr="00C75D7F">
        <w:rPr>
          <w:rFonts w:ascii="Times New Roman" w:hAnsi="Times New Roman" w:cs="Times New Roman"/>
        </w:rPr>
        <w:t>, these terms are not co-terminus</w:t>
      </w:r>
      <w:r w:rsidR="00C75D7F">
        <w:rPr>
          <w:rFonts w:ascii="Times New Roman" w:hAnsi="Times New Roman" w:cs="Times New Roman"/>
        </w:rPr>
        <w:t>.</w:t>
      </w:r>
    </w:p>
    <w:p w14:paraId="2FE669E4" w14:textId="4B04BB97" w:rsidR="00681B61" w:rsidRDefault="002B30AD" w:rsidP="0096648D">
      <w:pPr>
        <w:widowControl w:val="0"/>
        <w:spacing w:after="240" w:line="240" w:lineRule="auto"/>
        <w:rPr>
          <w:rFonts w:ascii="Times New Roman" w:hAnsi="Times New Roman" w:cs="Times New Roman"/>
        </w:rPr>
      </w:pPr>
      <w:r>
        <w:rPr>
          <w:rFonts w:ascii="Times New Roman" w:hAnsi="Times New Roman" w:cs="Times New Roman"/>
        </w:rPr>
        <w:t xml:space="preserve">For instance, </w:t>
      </w:r>
      <w:r w:rsidRPr="001760B9">
        <w:rPr>
          <w:rFonts w:ascii="Times New Roman" w:hAnsi="Times New Roman" w:cs="Times New Roman"/>
        </w:rPr>
        <w:t>a</w:t>
      </w:r>
      <w:r w:rsidRPr="00D126E2">
        <w:rPr>
          <w:rFonts w:ascii="Times New Roman" w:hAnsi="Times New Roman" w:cs="Times New Roman"/>
        </w:rPr>
        <w:t xml:space="preserve"> U</w:t>
      </w:r>
      <w:r w:rsidR="00603C0F">
        <w:rPr>
          <w:rFonts w:ascii="Times New Roman" w:hAnsi="Times New Roman" w:cs="Times New Roman"/>
        </w:rPr>
        <w:t>.</w:t>
      </w:r>
      <w:r w:rsidRPr="0024479D">
        <w:rPr>
          <w:rFonts w:ascii="Times New Roman" w:hAnsi="Times New Roman" w:cs="Times New Roman"/>
        </w:rPr>
        <w:t>S</w:t>
      </w:r>
      <w:r w:rsidR="00603C0F">
        <w:rPr>
          <w:rFonts w:ascii="Times New Roman" w:hAnsi="Times New Roman" w:cs="Times New Roman"/>
        </w:rPr>
        <w:t>.</w:t>
      </w:r>
      <w:r w:rsidRPr="0024479D">
        <w:rPr>
          <w:rFonts w:ascii="Times New Roman" w:hAnsi="Times New Roman" w:cs="Times New Roman"/>
        </w:rPr>
        <w:t xml:space="preserve"> shareholder could own </w:t>
      </w:r>
      <w:r w:rsidR="00CD4FC7">
        <w:rPr>
          <w:rFonts w:ascii="Times New Roman" w:hAnsi="Times New Roman" w:cs="Times New Roman"/>
        </w:rPr>
        <w:t>ten percent</w:t>
      </w:r>
      <w:r w:rsidRPr="0024479D">
        <w:rPr>
          <w:rFonts w:ascii="Times New Roman" w:hAnsi="Times New Roman" w:cs="Times New Roman"/>
        </w:rPr>
        <w:t xml:space="preserve"> of the value of a CFC or </w:t>
      </w:r>
      <w:r w:rsidR="00CD4FC7">
        <w:rPr>
          <w:rFonts w:ascii="Times New Roman" w:hAnsi="Times New Roman" w:cs="Times New Roman"/>
        </w:rPr>
        <w:t>ten percent</w:t>
      </w:r>
      <w:r w:rsidR="00CD4FC7" w:rsidRPr="0024479D">
        <w:rPr>
          <w:rFonts w:ascii="Times New Roman" w:hAnsi="Times New Roman" w:cs="Times New Roman"/>
        </w:rPr>
        <w:t xml:space="preserve"> </w:t>
      </w:r>
      <w:r w:rsidRPr="0024479D">
        <w:rPr>
          <w:rFonts w:ascii="Times New Roman" w:hAnsi="Times New Roman" w:cs="Times New Roman"/>
        </w:rPr>
        <w:t>of the voting power of a foreign corp</w:t>
      </w:r>
      <w:r w:rsidRPr="00F8156A">
        <w:rPr>
          <w:rFonts w:ascii="Times New Roman" w:hAnsi="Times New Roman" w:cs="Times New Roman"/>
        </w:rPr>
        <w:t xml:space="preserve">oration, and in neither case be a 1248 shareholder, because a 1248 shareholder must own, or have owned, </w:t>
      </w:r>
      <w:r w:rsidR="00CD4FC7">
        <w:rPr>
          <w:rFonts w:ascii="Times New Roman" w:hAnsi="Times New Roman" w:cs="Times New Roman"/>
        </w:rPr>
        <w:t>ten percent</w:t>
      </w:r>
      <w:r w:rsidR="00CD4FC7" w:rsidRPr="0024479D">
        <w:rPr>
          <w:rFonts w:ascii="Times New Roman" w:hAnsi="Times New Roman" w:cs="Times New Roman"/>
        </w:rPr>
        <w:t xml:space="preserve"> </w:t>
      </w:r>
      <w:r w:rsidRPr="00F8156A">
        <w:rPr>
          <w:rFonts w:ascii="Times New Roman" w:hAnsi="Times New Roman" w:cs="Times New Roman"/>
        </w:rPr>
        <w:t xml:space="preserve">or more of </w:t>
      </w:r>
      <w:r w:rsidR="00C942C3" w:rsidRPr="00F8156A">
        <w:rPr>
          <w:rFonts w:ascii="Times New Roman" w:hAnsi="Times New Roman" w:cs="Times New Roman"/>
        </w:rPr>
        <w:t xml:space="preserve">the voting power of a corporation that is, or was, a CFC. </w:t>
      </w:r>
      <w:r w:rsidR="00681B61" w:rsidRPr="00F8156A">
        <w:rPr>
          <w:rFonts w:ascii="Times New Roman" w:hAnsi="Times New Roman" w:cs="Times New Roman"/>
        </w:rPr>
        <w:t>Further,</w:t>
      </w:r>
      <w:r w:rsidR="0018377D" w:rsidRPr="0024479D">
        <w:rPr>
          <w:rFonts w:ascii="Times New Roman" w:hAnsi="Times New Roman" w:cs="Times New Roman"/>
        </w:rPr>
        <w:t xml:space="preserve"> </w:t>
      </w:r>
      <w:r w:rsidR="00C942C3" w:rsidRPr="0024479D">
        <w:rPr>
          <w:rFonts w:ascii="Times New Roman" w:hAnsi="Times New Roman" w:cs="Times New Roman"/>
        </w:rPr>
        <w:t xml:space="preserve">it is possible that </w:t>
      </w:r>
      <w:r w:rsidR="0018377D" w:rsidRPr="0024479D">
        <w:rPr>
          <w:rFonts w:ascii="Times New Roman" w:hAnsi="Times New Roman" w:cs="Times New Roman"/>
        </w:rPr>
        <w:t xml:space="preserve">a </w:t>
      </w:r>
      <w:r w:rsidR="0018377D" w:rsidRPr="001760B9">
        <w:rPr>
          <w:rFonts w:ascii="Times New Roman" w:hAnsi="Times New Roman" w:cs="Times New Roman"/>
        </w:rPr>
        <w:t>1248 shareholder</w:t>
      </w:r>
      <w:r w:rsidR="0018377D" w:rsidRPr="0018377D">
        <w:rPr>
          <w:rFonts w:ascii="Times New Roman" w:hAnsi="Times New Roman" w:cs="Times New Roman"/>
        </w:rPr>
        <w:t xml:space="preserve"> </w:t>
      </w:r>
      <w:r w:rsidR="00B43635">
        <w:rPr>
          <w:rFonts w:ascii="Times New Roman" w:hAnsi="Times New Roman" w:cs="Times New Roman"/>
        </w:rPr>
        <w:t xml:space="preserve">of a CFC </w:t>
      </w:r>
      <w:r w:rsidR="0018377D" w:rsidRPr="0018377D">
        <w:rPr>
          <w:rFonts w:ascii="Times New Roman" w:hAnsi="Times New Roman" w:cs="Times New Roman"/>
        </w:rPr>
        <w:t xml:space="preserve">is </w:t>
      </w:r>
      <w:r w:rsidR="0018377D" w:rsidRPr="003C40CD">
        <w:rPr>
          <w:rFonts w:ascii="Times New Roman" w:hAnsi="Times New Roman" w:cs="Times New Roman"/>
        </w:rPr>
        <w:t xml:space="preserve">not </w:t>
      </w:r>
      <w:r w:rsidR="0018377D" w:rsidRPr="0018377D">
        <w:rPr>
          <w:rFonts w:ascii="Times New Roman" w:hAnsi="Times New Roman" w:cs="Times New Roman"/>
        </w:rPr>
        <w:t>a U</w:t>
      </w:r>
      <w:r w:rsidR="0018377D">
        <w:rPr>
          <w:rFonts w:ascii="Times New Roman" w:hAnsi="Times New Roman" w:cs="Times New Roman"/>
        </w:rPr>
        <w:t xml:space="preserve">.S. </w:t>
      </w:r>
      <w:r w:rsidR="0018377D" w:rsidRPr="0018377D">
        <w:rPr>
          <w:rFonts w:ascii="Times New Roman" w:hAnsi="Times New Roman" w:cs="Times New Roman"/>
        </w:rPr>
        <w:t>shareholder</w:t>
      </w:r>
      <w:r w:rsidR="00061DE9">
        <w:rPr>
          <w:rFonts w:ascii="Times New Roman" w:hAnsi="Times New Roman" w:cs="Times New Roman"/>
        </w:rPr>
        <w:t xml:space="preserve"> of the CFC</w:t>
      </w:r>
      <w:r w:rsidR="0018377D" w:rsidRPr="0018377D">
        <w:rPr>
          <w:rFonts w:ascii="Times New Roman" w:hAnsi="Times New Roman" w:cs="Times New Roman"/>
        </w:rPr>
        <w:t xml:space="preserve"> </w:t>
      </w:r>
      <w:r w:rsidR="0018377D">
        <w:rPr>
          <w:rFonts w:ascii="Times New Roman" w:hAnsi="Times New Roman" w:cs="Times New Roman"/>
        </w:rPr>
        <w:t>on the date o</w:t>
      </w:r>
      <w:r w:rsidR="00C90C99">
        <w:rPr>
          <w:rFonts w:ascii="Times New Roman" w:hAnsi="Times New Roman" w:cs="Times New Roman"/>
        </w:rPr>
        <w:t>f a</w:t>
      </w:r>
      <w:r w:rsidR="0018377D">
        <w:rPr>
          <w:rFonts w:ascii="Times New Roman" w:hAnsi="Times New Roman" w:cs="Times New Roman"/>
        </w:rPr>
        <w:t xml:space="preserve"> sale or exchange</w:t>
      </w:r>
      <w:r w:rsidR="0018377D" w:rsidRPr="0018377D">
        <w:rPr>
          <w:rFonts w:ascii="Times New Roman" w:hAnsi="Times New Roman" w:cs="Times New Roman"/>
        </w:rPr>
        <w:t xml:space="preserve">, </w:t>
      </w:r>
      <w:r w:rsidR="0018377D">
        <w:rPr>
          <w:rFonts w:ascii="Times New Roman" w:hAnsi="Times New Roman" w:cs="Times New Roman"/>
        </w:rPr>
        <w:t xml:space="preserve">if such shareholder </w:t>
      </w:r>
      <w:r w:rsidR="0018377D" w:rsidRPr="0018377D">
        <w:rPr>
          <w:rFonts w:ascii="Times New Roman" w:hAnsi="Times New Roman" w:cs="Times New Roman"/>
        </w:rPr>
        <w:t>was a U</w:t>
      </w:r>
      <w:r w:rsidR="0018377D">
        <w:rPr>
          <w:rFonts w:ascii="Times New Roman" w:hAnsi="Times New Roman" w:cs="Times New Roman"/>
        </w:rPr>
        <w:t>.S.</w:t>
      </w:r>
      <w:r w:rsidR="0018377D" w:rsidRPr="0018377D">
        <w:rPr>
          <w:rFonts w:ascii="Times New Roman" w:hAnsi="Times New Roman" w:cs="Times New Roman"/>
        </w:rPr>
        <w:t xml:space="preserve"> shareholder </w:t>
      </w:r>
      <w:r w:rsidR="00CD4FC7">
        <w:rPr>
          <w:rFonts w:ascii="Times New Roman" w:hAnsi="Times New Roman" w:cs="Times New Roman"/>
        </w:rPr>
        <w:t>at any point</w:t>
      </w:r>
      <w:r w:rsidR="0018377D">
        <w:rPr>
          <w:rFonts w:ascii="Times New Roman" w:hAnsi="Times New Roman" w:cs="Times New Roman"/>
        </w:rPr>
        <w:t xml:space="preserve"> during the pre</w:t>
      </w:r>
      <w:r w:rsidR="0018377D" w:rsidRPr="0018377D">
        <w:rPr>
          <w:rFonts w:ascii="Times New Roman" w:hAnsi="Times New Roman" w:cs="Times New Roman"/>
        </w:rPr>
        <w:t xml:space="preserve">vious </w:t>
      </w:r>
      <w:r w:rsidR="00CD4FC7">
        <w:rPr>
          <w:rFonts w:ascii="Times New Roman" w:hAnsi="Times New Roman" w:cs="Times New Roman"/>
        </w:rPr>
        <w:t>five-year period</w:t>
      </w:r>
      <w:r w:rsidR="0018377D" w:rsidRPr="0018377D">
        <w:rPr>
          <w:rFonts w:ascii="Times New Roman" w:hAnsi="Times New Roman" w:cs="Times New Roman"/>
        </w:rPr>
        <w:t xml:space="preserve"> while the foreign corporation was a CF</w:t>
      </w:r>
      <w:r w:rsidR="0018377D">
        <w:rPr>
          <w:rFonts w:ascii="Times New Roman" w:hAnsi="Times New Roman" w:cs="Times New Roman"/>
        </w:rPr>
        <w:t>C.</w:t>
      </w:r>
      <w:r w:rsidR="00091961">
        <w:rPr>
          <w:rFonts w:ascii="Times New Roman" w:hAnsi="Times New Roman" w:cs="Times New Roman"/>
        </w:rPr>
        <w:t xml:space="preserve"> In addition, while the subpart F rules apply only to CFCs, </w:t>
      </w:r>
      <w:r w:rsidR="000F2758">
        <w:rPr>
          <w:rFonts w:ascii="Times New Roman" w:hAnsi="Times New Roman" w:cs="Times New Roman"/>
        </w:rPr>
        <w:t>Code Sec.</w:t>
      </w:r>
      <w:r w:rsidR="00A5108A">
        <w:rPr>
          <w:rFonts w:ascii="Times New Roman" w:hAnsi="Times New Roman" w:cs="Times New Roman"/>
        </w:rPr>
        <w:t xml:space="preserve"> </w:t>
      </w:r>
      <w:r w:rsidR="00FE4FFB">
        <w:rPr>
          <w:rFonts w:ascii="Times New Roman" w:hAnsi="Times New Roman" w:cs="Times New Roman"/>
        </w:rPr>
        <w:t xml:space="preserve">1248 can apply with respect to </w:t>
      </w:r>
      <w:r w:rsidR="005C3636">
        <w:rPr>
          <w:rFonts w:ascii="Times New Roman" w:hAnsi="Times New Roman" w:cs="Times New Roman"/>
        </w:rPr>
        <w:t xml:space="preserve">a shareholder’s sale or exchange of </w:t>
      </w:r>
      <w:r w:rsidR="00FE4FFB">
        <w:rPr>
          <w:rFonts w:ascii="Times New Roman" w:hAnsi="Times New Roman" w:cs="Times New Roman"/>
        </w:rPr>
        <w:t xml:space="preserve">stock of </w:t>
      </w:r>
      <w:r w:rsidR="00CD4FC7">
        <w:rPr>
          <w:rFonts w:ascii="Times New Roman" w:hAnsi="Times New Roman" w:cs="Times New Roman"/>
        </w:rPr>
        <w:t xml:space="preserve">a </w:t>
      </w:r>
      <w:r w:rsidR="00D72144">
        <w:rPr>
          <w:rFonts w:ascii="Times New Roman" w:hAnsi="Times New Roman" w:cs="Times New Roman"/>
        </w:rPr>
        <w:t xml:space="preserve">foreign corporation that </w:t>
      </w:r>
      <w:r w:rsidR="00CD4FC7">
        <w:rPr>
          <w:rFonts w:ascii="Times New Roman" w:hAnsi="Times New Roman" w:cs="Times New Roman"/>
        </w:rPr>
        <w:t xml:space="preserve">is not a CFC at the time </w:t>
      </w:r>
      <w:r w:rsidR="005C3636">
        <w:rPr>
          <w:rFonts w:ascii="Times New Roman" w:hAnsi="Times New Roman" w:cs="Times New Roman"/>
        </w:rPr>
        <w:t>of such sale or exchange</w:t>
      </w:r>
      <w:r w:rsidR="003048F5">
        <w:rPr>
          <w:rFonts w:ascii="Times New Roman" w:hAnsi="Times New Roman" w:cs="Times New Roman"/>
        </w:rPr>
        <w:t xml:space="preserve">, if such foreign corporation was a CFC at any </w:t>
      </w:r>
      <w:r w:rsidR="005C3636">
        <w:rPr>
          <w:rFonts w:ascii="Times New Roman" w:hAnsi="Times New Roman" w:cs="Times New Roman"/>
        </w:rPr>
        <w:t xml:space="preserve">point during the five-year </w:t>
      </w:r>
      <w:r w:rsidR="00A51153">
        <w:rPr>
          <w:rFonts w:ascii="Times New Roman" w:hAnsi="Times New Roman" w:cs="Times New Roman"/>
        </w:rPr>
        <w:t xml:space="preserve">period </w:t>
      </w:r>
      <w:r w:rsidR="005C3636">
        <w:rPr>
          <w:rFonts w:ascii="Times New Roman" w:hAnsi="Times New Roman" w:cs="Times New Roman"/>
        </w:rPr>
        <w:t xml:space="preserve">preceding the transaction </w:t>
      </w:r>
      <w:r w:rsidR="00475C2D">
        <w:rPr>
          <w:rFonts w:ascii="Times New Roman" w:hAnsi="Times New Roman" w:cs="Times New Roman"/>
        </w:rPr>
        <w:t xml:space="preserve">while </w:t>
      </w:r>
      <w:r w:rsidR="00A51153">
        <w:rPr>
          <w:rFonts w:ascii="Times New Roman" w:hAnsi="Times New Roman" w:cs="Times New Roman"/>
        </w:rPr>
        <w:t xml:space="preserve">the shareholder owned ten percent or more of its voting power. </w:t>
      </w:r>
      <w:r w:rsidR="0036603E">
        <w:rPr>
          <w:rFonts w:ascii="Times New Roman" w:hAnsi="Times New Roman" w:cs="Times New Roman"/>
        </w:rPr>
        <w:t xml:space="preserve">Therefore, while </w:t>
      </w:r>
      <w:r w:rsidR="00A03BC2">
        <w:rPr>
          <w:rFonts w:ascii="Times New Roman" w:hAnsi="Times New Roman" w:cs="Times New Roman"/>
        </w:rPr>
        <w:t xml:space="preserve">it is common shorthand to </w:t>
      </w:r>
      <w:r w:rsidR="00365D01">
        <w:rPr>
          <w:rFonts w:ascii="Times New Roman" w:hAnsi="Times New Roman" w:cs="Times New Roman"/>
        </w:rPr>
        <w:t>speak of</w:t>
      </w:r>
      <w:r w:rsidR="00CF44B4">
        <w:rPr>
          <w:rFonts w:ascii="Times New Roman" w:hAnsi="Times New Roman" w:cs="Times New Roman"/>
        </w:rPr>
        <w:t xml:space="preserve"> Code Sec. 1248</w:t>
      </w:r>
      <w:r w:rsidR="00A51153">
        <w:rPr>
          <w:rFonts w:ascii="Times New Roman" w:hAnsi="Times New Roman" w:cs="Times New Roman"/>
        </w:rPr>
        <w:t xml:space="preserve"> as </w:t>
      </w:r>
      <w:r w:rsidR="00A03BC2">
        <w:rPr>
          <w:rFonts w:ascii="Times New Roman" w:hAnsi="Times New Roman" w:cs="Times New Roman"/>
        </w:rPr>
        <w:t xml:space="preserve">applying to the sale </w:t>
      </w:r>
      <w:r w:rsidR="00365D01">
        <w:rPr>
          <w:rFonts w:ascii="Times New Roman" w:hAnsi="Times New Roman" w:cs="Times New Roman"/>
        </w:rPr>
        <w:t>of CFC stock by U</w:t>
      </w:r>
      <w:r w:rsidR="00603C0F">
        <w:rPr>
          <w:rFonts w:ascii="Times New Roman" w:hAnsi="Times New Roman" w:cs="Times New Roman"/>
        </w:rPr>
        <w:t>.</w:t>
      </w:r>
      <w:r w:rsidR="00365D01">
        <w:rPr>
          <w:rFonts w:ascii="Times New Roman" w:hAnsi="Times New Roman" w:cs="Times New Roman"/>
        </w:rPr>
        <w:t>S</w:t>
      </w:r>
      <w:r w:rsidR="00603C0F">
        <w:rPr>
          <w:rFonts w:ascii="Times New Roman" w:hAnsi="Times New Roman" w:cs="Times New Roman"/>
        </w:rPr>
        <w:t>.</w:t>
      </w:r>
      <w:r w:rsidR="00365D01">
        <w:rPr>
          <w:rFonts w:ascii="Times New Roman" w:hAnsi="Times New Roman" w:cs="Times New Roman"/>
        </w:rPr>
        <w:t xml:space="preserve"> shareholders, the terms </w:t>
      </w:r>
      <w:r w:rsidR="00507238">
        <w:rPr>
          <w:rFonts w:ascii="Times New Roman" w:hAnsi="Times New Roman" w:cs="Times New Roman"/>
        </w:rPr>
        <w:t>“</w:t>
      </w:r>
      <w:r w:rsidR="0000620C">
        <w:rPr>
          <w:rFonts w:ascii="Times New Roman" w:hAnsi="Times New Roman" w:cs="Times New Roman"/>
        </w:rPr>
        <w:t>CFC</w:t>
      </w:r>
      <w:r w:rsidR="00507238">
        <w:rPr>
          <w:rFonts w:ascii="Times New Roman" w:hAnsi="Times New Roman" w:cs="Times New Roman"/>
        </w:rPr>
        <w:t xml:space="preserve">” </w:t>
      </w:r>
      <w:r w:rsidR="00365D01">
        <w:rPr>
          <w:rFonts w:ascii="Times New Roman" w:hAnsi="Times New Roman" w:cs="Times New Roman"/>
        </w:rPr>
        <w:t>and “U</w:t>
      </w:r>
      <w:r w:rsidR="00603C0F">
        <w:rPr>
          <w:rFonts w:ascii="Times New Roman" w:hAnsi="Times New Roman" w:cs="Times New Roman"/>
        </w:rPr>
        <w:t>.</w:t>
      </w:r>
      <w:r w:rsidR="00365D01">
        <w:rPr>
          <w:rFonts w:ascii="Times New Roman" w:hAnsi="Times New Roman" w:cs="Times New Roman"/>
        </w:rPr>
        <w:t>S</w:t>
      </w:r>
      <w:r w:rsidR="00603C0F">
        <w:rPr>
          <w:rFonts w:ascii="Times New Roman" w:hAnsi="Times New Roman" w:cs="Times New Roman"/>
        </w:rPr>
        <w:t>.</w:t>
      </w:r>
      <w:r w:rsidR="00365D01">
        <w:rPr>
          <w:rFonts w:ascii="Times New Roman" w:hAnsi="Times New Roman" w:cs="Times New Roman"/>
        </w:rPr>
        <w:t xml:space="preserve"> shareholder” are </w:t>
      </w:r>
      <w:r w:rsidR="00507238">
        <w:rPr>
          <w:rFonts w:ascii="Times New Roman" w:hAnsi="Times New Roman" w:cs="Times New Roman"/>
        </w:rPr>
        <w:t>rarely used</w:t>
      </w:r>
      <w:r w:rsidR="00CF44B4">
        <w:rPr>
          <w:rFonts w:ascii="Times New Roman" w:hAnsi="Times New Roman" w:cs="Times New Roman"/>
        </w:rPr>
        <w:t xml:space="preserve"> </w:t>
      </w:r>
      <w:r w:rsidR="0000620C">
        <w:rPr>
          <w:rFonts w:ascii="Times New Roman" w:hAnsi="Times New Roman" w:cs="Times New Roman"/>
        </w:rPr>
        <w:t xml:space="preserve">in Code Sec. 1248 and the regulations thereunder in </w:t>
      </w:r>
      <w:r w:rsidR="00CF44B4">
        <w:rPr>
          <w:rFonts w:ascii="Times New Roman" w:hAnsi="Times New Roman" w:cs="Times New Roman"/>
        </w:rPr>
        <w:t>reference to the corporation whose stock is sold</w:t>
      </w:r>
      <w:r w:rsidR="00507238">
        <w:rPr>
          <w:rFonts w:ascii="Times New Roman" w:hAnsi="Times New Roman" w:cs="Times New Roman"/>
        </w:rPr>
        <w:t xml:space="preserve"> </w:t>
      </w:r>
      <w:r w:rsidR="00365D01">
        <w:rPr>
          <w:rFonts w:ascii="Times New Roman" w:hAnsi="Times New Roman" w:cs="Times New Roman"/>
        </w:rPr>
        <w:t xml:space="preserve">and </w:t>
      </w:r>
      <w:r w:rsidR="008A43D3">
        <w:rPr>
          <w:rFonts w:ascii="Times New Roman" w:hAnsi="Times New Roman" w:cs="Times New Roman"/>
        </w:rPr>
        <w:t xml:space="preserve">the U.S. person selling </w:t>
      </w:r>
      <w:r w:rsidR="00633F10">
        <w:rPr>
          <w:rFonts w:ascii="Times New Roman" w:hAnsi="Times New Roman" w:cs="Times New Roman"/>
        </w:rPr>
        <w:t>it</w:t>
      </w:r>
      <w:r w:rsidR="00CF44B4">
        <w:rPr>
          <w:rFonts w:ascii="Times New Roman" w:hAnsi="Times New Roman" w:cs="Times New Roman"/>
        </w:rPr>
        <w:t>.</w:t>
      </w:r>
      <w:r w:rsidR="00C4413A">
        <w:rPr>
          <w:rStyle w:val="FootnoteReference"/>
          <w:rFonts w:ascii="Times New Roman" w:hAnsi="Times New Roman" w:cs="Times New Roman"/>
        </w:rPr>
        <w:footnoteReference w:id="32"/>
      </w:r>
    </w:p>
    <w:p w14:paraId="066B6976" w14:textId="3089A564" w:rsidR="00352E3D" w:rsidRDefault="006045D3" w:rsidP="0096648D">
      <w:pPr>
        <w:pStyle w:val="Heading3"/>
        <w:keepNext w:val="0"/>
        <w:keepLines w:val="0"/>
        <w:widowControl w:val="0"/>
      </w:pPr>
      <w:r>
        <w:t>Guidelines</w:t>
      </w:r>
    </w:p>
    <w:p w14:paraId="66121E40" w14:textId="5248E21D" w:rsidR="00D02BAE" w:rsidRDefault="00EE31C2" w:rsidP="0096648D">
      <w:pPr>
        <w:widowControl w:val="0"/>
        <w:spacing w:after="240" w:line="240" w:lineRule="auto"/>
        <w:rPr>
          <w:rFonts w:ascii="Times New Roman" w:hAnsi="Times New Roman" w:cs="Times New Roman"/>
        </w:rPr>
      </w:pPr>
      <w:r>
        <w:rPr>
          <w:rFonts w:ascii="Times New Roman" w:hAnsi="Times New Roman" w:cs="Times New Roman"/>
        </w:rPr>
        <w:t>Congress enacted the</w:t>
      </w:r>
      <w:r w:rsidRPr="00A93728">
        <w:rPr>
          <w:rFonts w:ascii="Times New Roman" w:hAnsi="Times New Roman" w:cs="Times New Roman"/>
        </w:rPr>
        <w:t xml:space="preserve"> </w:t>
      </w:r>
      <w:r w:rsidR="003E5F73">
        <w:rPr>
          <w:rFonts w:ascii="Times New Roman" w:hAnsi="Times New Roman" w:cs="Times New Roman"/>
        </w:rPr>
        <w:t xml:space="preserve">predecessor </w:t>
      </w:r>
      <w:r>
        <w:rPr>
          <w:rFonts w:ascii="Times New Roman" w:hAnsi="Times New Roman" w:cs="Times New Roman"/>
        </w:rPr>
        <w:t xml:space="preserve">to </w:t>
      </w:r>
      <w:r w:rsidR="00CC0509">
        <w:rPr>
          <w:rFonts w:ascii="Times New Roman" w:hAnsi="Times New Roman" w:cs="Times New Roman"/>
        </w:rPr>
        <w:t xml:space="preserve">Code Sec. </w:t>
      </w:r>
      <w:r w:rsidR="003E5F73">
        <w:rPr>
          <w:rFonts w:ascii="Times New Roman" w:hAnsi="Times New Roman" w:cs="Times New Roman"/>
        </w:rPr>
        <w:t>367</w:t>
      </w:r>
      <w:r w:rsidR="004B6230">
        <w:rPr>
          <w:rFonts w:ascii="Times New Roman" w:hAnsi="Times New Roman" w:cs="Times New Roman"/>
        </w:rPr>
        <w:t xml:space="preserve"> </w:t>
      </w:r>
      <w:r w:rsidR="00C7171C" w:rsidRPr="00A93728">
        <w:rPr>
          <w:rFonts w:ascii="Times New Roman" w:hAnsi="Times New Roman" w:cs="Times New Roman"/>
        </w:rPr>
        <w:t>in the Revenue Act of 1932</w:t>
      </w:r>
      <w:r w:rsidR="004B6230">
        <w:rPr>
          <w:rFonts w:ascii="Times New Roman" w:hAnsi="Times New Roman" w:cs="Times New Roman"/>
        </w:rPr>
        <w:t>.</w:t>
      </w:r>
      <w:r w:rsidR="00EF5075" w:rsidRPr="00A93728">
        <w:rPr>
          <w:rStyle w:val="FootnoteReference"/>
          <w:rFonts w:ascii="Times New Roman" w:hAnsi="Times New Roman" w:cs="Times New Roman"/>
        </w:rPr>
        <w:footnoteReference w:id="33"/>
      </w:r>
      <w:r w:rsidR="00C7171C" w:rsidRPr="00A93728">
        <w:rPr>
          <w:rFonts w:ascii="Times New Roman" w:hAnsi="Times New Roman" w:cs="Times New Roman"/>
        </w:rPr>
        <w:t xml:space="preserve"> </w:t>
      </w:r>
      <w:r w:rsidR="00AA4EE6">
        <w:rPr>
          <w:rFonts w:ascii="Times New Roman" w:hAnsi="Times New Roman" w:cs="Times New Roman"/>
        </w:rPr>
        <w:t>Section</w:t>
      </w:r>
      <w:r w:rsidR="00CC0509">
        <w:rPr>
          <w:rFonts w:ascii="Times New Roman" w:hAnsi="Times New Roman" w:cs="Times New Roman"/>
        </w:rPr>
        <w:t xml:space="preserve"> </w:t>
      </w:r>
      <w:r w:rsidR="00C7171C" w:rsidRPr="00A93728">
        <w:rPr>
          <w:rFonts w:ascii="Times New Roman" w:hAnsi="Times New Roman" w:cs="Times New Roman"/>
        </w:rPr>
        <w:t>112(k) provided that</w:t>
      </w:r>
      <w:r w:rsidR="004B6230">
        <w:rPr>
          <w:rFonts w:ascii="Times New Roman" w:hAnsi="Times New Roman" w:cs="Times New Roman"/>
        </w:rPr>
        <w:t xml:space="preserve">, for purposes of determining </w:t>
      </w:r>
      <w:r w:rsidR="00C7171C" w:rsidRPr="00A93728">
        <w:rPr>
          <w:rFonts w:ascii="Times New Roman" w:hAnsi="Times New Roman" w:cs="Times New Roman"/>
        </w:rPr>
        <w:t xml:space="preserve">the gain recognized </w:t>
      </w:r>
      <w:r w:rsidR="00F8156A">
        <w:rPr>
          <w:rFonts w:ascii="Times New Roman" w:hAnsi="Times New Roman" w:cs="Times New Roman"/>
        </w:rPr>
        <w:t xml:space="preserve">in </w:t>
      </w:r>
      <w:r w:rsidR="00E81B89">
        <w:rPr>
          <w:rFonts w:ascii="Times New Roman" w:hAnsi="Times New Roman" w:cs="Times New Roman"/>
        </w:rPr>
        <w:t>an exchange</w:t>
      </w:r>
      <w:r w:rsidR="00EF45CA">
        <w:rPr>
          <w:rFonts w:ascii="Times New Roman" w:hAnsi="Times New Roman" w:cs="Times New Roman"/>
        </w:rPr>
        <w:t xml:space="preserve"> or distribution</w:t>
      </w:r>
      <w:r w:rsidR="00E81B89">
        <w:rPr>
          <w:rFonts w:ascii="Times New Roman" w:hAnsi="Times New Roman" w:cs="Times New Roman"/>
        </w:rPr>
        <w:t xml:space="preserve"> afforded </w:t>
      </w:r>
      <w:r w:rsidR="00F8156A">
        <w:rPr>
          <w:rFonts w:ascii="Times New Roman" w:hAnsi="Times New Roman" w:cs="Times New Roman"/>
        </w:rPr>
        <w:t xml:space="preserve">nonrecognition </w:t>
      </w:r>
      <w:r w:rsidR="00C7171C" w:rsidRPr="00A93728">
        <w:rPr>
          <w:rFonts w:ascii="Times New Roman" w:hAnsi="Times New Roman" w:cs="Times New Roman"/>
        </w:rPr>
        <w:t>involv</w:t>
      </w:r>
      <w:r w:rsidR="00EF5075" w:rsidRPr="00A93728">
        <w:rPr>
          <w:rFonts w:ascii="Times New Roman" w:hAnsi="Times New Roman" w:cs="Times New Roman"/>
        </w:rPr>
        <w:t>ing</w:t>
      </w:r>
      <w:r w:rsidR="00C7171C" w:rsidRPr="00A93728">
        <w:rPr>
          <w:rFonts w:ascii="Times New Roman" w:hAnsi="Times New Roman" w:cs="Times New Roman"/>
        </w:rPr>
        <w:t xml:space="preserve"> foreign corporations, </w:t>
      </w:r>
      <w:r w:rsidR="00781BB7">
        <w:rPr>
          <w:rFonts w:ascii="Times New Roman" w:hAnsi="Times New Roman" w:cs="Times New Roman"/>
        </w:rPr>
        <w:t xml:space="preserve">“a foreign corporation shall not be considered a corporation unless, </w:t>
      </w:r>
      <w:r w:rsidR="00EF45CA">
        <w:rPr>
          <w:rFonts w:ascii="Times New Roman" w:hAnsi="Times New Roman" w:cs="Times New Roman"/>
        </w:rPr>
        <w:t xml:space="preserve">prior to </w:t>
      </w:r>
      <w:r w:rsidR="00781BB7">
        <w:rPr>
          <w:rFonts w:ascii="Times New Roman" w:hAnsi="Times New Roman" w:cs="Times New Roman"/>
        </w:rPr>
        <w:t>such exchange</w:t>
      </w:r>
      <w:r w:rsidR="00EF45CA">
        <w:rPr>
          <w:rFonts w:ascii="Times New Roman" w:hAnsi="Times New Roman" w:cs="Times New Roman"/>
        </w:rPr>
        <w:t xml:space="preserve"> or distribution</w:t>
      </w:r>
      <w:r w:rsidR="00781BB7">
        <w:rPr>
          <w:rFonts w:ascii="Times New Roman" w:hAnsi="Times New Roman" w:cs="Times New Roman"/>
        </w:rPr>
        <w:t xml:space="preserve">, it has been established to the satisfaction of the </w:t>
      </w:r>
      <w:r w:rsidR="00BA606E">
        <w:rPr>
          <w:rFonts w:ascii="Times New Roman" w:hAnsi="Times New Roman" w:cs="Times New Roman"/>
        </w:rPr>
        <w:t>Commissioner</w:t>
      </w:r>
      <w:r w:rsidR="00781BB7">
        <w:rPr>
          <w:rFonts w:ascii="Times New Roman" w:hAnsi="Times New Roman" w:cs="Times New Roman"/>
        </w:rPr>
        <w:t xml:space="preserve"> that such exchange </w:t>
      </w:r>
      <w:r w:rsidR="00BA606E">
        <w:rPr>
          <w:rFonts w:ascii="Times New Roman" w:hAnsi="Times New Roman" w:cs="Times New Roman"/>
        </w:rPr>
        <w:t xml:space="preserve">or distribution </w:t>
      </w:r>
      <w:r w:rsidR="00781BB7">
        <w:rPr>
          <w:rFonts w:ascii="Times New Roman" w:hAnsi="Times New Roman" w:cs="Times New Roman"/>
        </w:rPr>
        <w:t xml:space="preserve">is not in pursuance of a plan having one of its </w:t>
      </w:r>
      <w:r w:rsidR="00AA61FC">
        <w:rPr>
          <w:rFonts w:ascii="Times New Roman" w:hAnsi="Times New Roman" w:cs="Times New Roman"/>
        </w:rPr>
        <w:t xml:space="preserve">principal </w:t>
      </w:r>
      <w:r w:rsidR="00781BB7">
        <w:rPr>
          <w:rFonts w:ascii="Times New Roman" w:hAnsi="Times New Roman" w:cs="Times New Roman"/>
        </w:rPr>
        <w:t>purposes the avoidance of Federal income taxes.”</w:t>
      </w:r>
      <w:r w:rsidR="00C7171C" w:rsidRPr="00A93728">
        <w:rPr>
          <w:rFonts w:ascii="Times New Roman" w:hAnsi="Times New Roman" w:cs="Times New Roman"/>
        </w:rPr>
        <w:t xml:space="preserve"> </w:t>
      </w:r>
      <w:r w:rsidR="001D6C82">
        <w:rPr>
          <w:rFonts w:ascii="Times New Roman" w:hAnsi="Times New Roman" w:cs="Times New Roman"/>
        </w:rPr>
        <w:t xml:space="preserve">Congress enacted </w:t>
      </w:r>
      <w:r w:rsidR="006F41C6">
        <w:rPr>
          <w:rFonts w:ascii="Times New Roman" w:hAnsi="Times New Roman" w:cs="Times New Roman"/>
        </w:rPr>
        <w:t xml:space="preserve">this provision to prevent the </w:t>
      </w:r>
      <w:r w:rsidR="005A0E43">
        <w:rPr>
          <w:rFonts w:ascii="Times New Roman" w:hAnsi="Times New Roman" w:cs="Times New Roman"/>
        </w:rPr>
        <w:t>t</w:t>
      </w:r>
      <w:r w:rsidR="003C5B48">
        <w:rPr>
          <w:rFonts w:ascii="Times New Roman" w:hAnsi="Times New Roman" w:cs="Times New Roman"/>
        </w:rPr>
        <w:t xml:space="preserve">ax-free transfer of appreciated </w:t>
      </w:r>
      <w:r w:rsidR="00CB072A">
        <w:rPr>
          <w:rFonts w:ascii="Times New Roman" w:hAnsi="Times New Roman" w:cs="Times New Roman"/>
        </w:rPr>
        <w:t>stock or securities</w:t>
      </w:r>
      <w:r w:rsidR="003C5B48">
        <w:rPr>
          <w:rFonts w:ascii="Times New Roman" w:hAnsi="Times New Roman" w:cs="Times New Roman"/>
        </w:rPr>
        <w:t xml:space="preserve"> to foreign corporations</w:t>
      </w:r>
      <w:r w:rsidR="00820CE1" w:rsidRPr="00A93728">
        <w:rPr>
          <w:rFonts w:ascii="Times New Roman" w:hAnsi="Times New Roman" w:cs="Times New Roman"/>
        </w:rPr>
        <w:t>.</w:t>
      </w:r>
      <w:r w:rsidR="00E05FD0" w:rsidRPr="00A93728">
        <w:rPr>
          <w:rStyle w:val="FootnoteReference"/>
          <w:rFonts w:ascii="Times New Roman" w:hAnsi="Times New Roman" w:cs="Times New Roman"/>
        </w:rPr>
        <w:footnoteReference w:id="34"/>
      </w:r>
      <w:r w:rsidR="00306C36">
        <w:rPr>
          <w:rFonts w:ascii="Times New Roman" w:hAnsi="Times New Roman" w:cs="Times New Roman"/>
        </w:rPr>
        <w:t xml:space="preserve"> </w:t>
      </w:r>
      <w:r w:rsidR="00EF5075" w:rsidRPr="00A93728">
        <w:rPr>
          <w:rFonts w:ascii="Times New Roman" w:hAnsi="Times New Roman" w:cs="Times New Roman"/>
        </w:rPr>
        <w:t>This section</w:t>
      </w:r>
      <w:r w:rsidR="00AA61FC">
        <w:rPr>
          <w:rFonts w:ascii="Times New Roman" w:hAnsi="Times New Roman" w:cs="Times New Roman"/>
        </w:rPr>
        <w:t xml:space="preserve"> subsequently</w:t>
      </w:r>
      <w:r w:rsidR="00EF5075" w:rsidRPr="00A93728">
        <w:rPr>
          <w:rFonts w:ascii="Times New Roman" w:hAnsi="Times New Roman" w:cs="Times New Roman"/>
        </w:rPr>
        <w:t xml:space="preserve"> </w:t>
      </w:r>
      <w:r w:rsidR="005E54C1">
        <w:rPr>
          <w:rFonts w:ascii="Times New Roman" w:hAnsi="Times New Roman" w:cs="Times New Roman"/>
        </w:rPr>
        <w:t>became</w:t>
      </w:r>
      <w:r w:rsidR="00EF5075" w:rsidRPr="00A93728">
        <w:rPr>
          <w:rFonts w:ascii="Times New Roman" w:hAnsi="Times New Roman" w:cs="Times New Roman"/>
        </w:rPr>
        <w:t xml:space="preserve"> </w:t>
      </w:r>
      <w:r w:rsidR="003F733E">
        <w:rPr>
          <w:rFonts w:ascii="Times New Roman" w:hAnsi="Times New Roman" w:cs="Times New Roman"/>
        </w:rPr>
        <w:t>section</w:t>
      </w:r>
      <w:r w:rsidR="005E54C1">
        <w:rPr>
          <w:rFonts w:ascii="Times New Roman" w:hAnsi="Times New Roman" w:cs="Times New Roman"/>
        </w:rPr>
        <w:t xml:space="preserve"> </w:t>
      </w:r>
      <w:r w:rsidR="00EF5075" w:rsidRPr="00A93728">
        <w:rPr>
          <w:rFonts w:ascii="Times New Roman" w:hAnsi="Times New Roman" w:cs="Times New Roman"/>
        </w:rPr>
        <w:t>367 in the 1954</w:t>
      </w:r>
      <w:r w:rsidR="009826CB" w:rsidRPr="00A93728">
        <w:rPr>
          <w:rFonts w:ascii="Times New Roman" w:hAnsi="Times New Roman" w:cs="Times New Roman"/>
        </w:rPr>
        <w:t xml:space="preserve"> </w:t>
      </w:r>
      <w:r w:rsidR="005E54C1">
        <w:rPr>
          <w:rFonts w:ascii="Times New Roman" w:hAnsi="Times New Roman" w:cs="Times New Roman"/>
        </w:rPr>
        <w:t xml:space="preserve">Code </w:t>
      </w:r>
      <w:r w:rsidR="009826CB" w:rsidRPr="00A93728">
        <w:rPr>
          <w:rFonts w:ascii="Times New Roman" w:hAnsi="Times New Roman" w:cs="Times New Roman"/>
        </w:rPr>
        <w:t xml:space="preserve">without </w:t>
      </w:r>
      <w:r w:rsidR="00AA61FC">
        <w:rPr>
          <w:rFonts w:ascii="Times New Roman" w:hAnsi="Times New Roman" w:cs="Times New Roman"/>
        </w:rPr>
        <w:t xml:space="preserve">material </w:t>
      </w:r>
      <w:r w:rsidR="009826CB" w:rsidRPr="00A93728">
        <w:rPr>
          <w:rFonts w:ascii="Times New Roman" w:hAnsi="Times New Roman" w:cs="Times New Roman"/>
        </w:rPr>
        <w:t>change</w:t>
      </w:r>
      <w:r w:rsidR="00EF5075" w:rsidRPr="00A93728">
        <w:rPr>
          <w:rFonts w:ascii="Times New Roman" w:hAnsi="Times New Roman" w:cs="Times New Roman"/>
        </w:rPr>
        <w:t>.</w:t>
      </w:r>
      <w:r w:rsidR="00D02BAE" w:rsidRPr="00A93728">
        <w:rPr>
          <w:rStyle w:val="FootnoteReference"/>
          <w:rFonts w:ascii="Times New Roman" w:hAnsi="Times New Roman" w:cs="Times New Roman"/>
        </w:rPr>
        <w:footnoteReference w:id="35"/>
      </w:r>
    </w:p>
    <w:p w14:paraId="55D9EB21" w14:textId="6CE96D12" w:rsidR="004245FA" w:rsidRDefault="00835CDD" w:rsidP="0096648D">
      <w:pPr>
        <w:widowControl w:val="0"/>
        <w:spacing w:after="240" w:line="240" w:lineRule="auto"/>
        <w:rPr>
          <w:rFonts w:ascii="Times New Roman" w:hAnsi="Times New Roman" w:cs="Times New Roman"/>
        </w:rPr>
      </w:pPr>
      <w:r>
        <w:rPr>
          <w:rFonts w:ascii="Times New Roman" w:hAnsi="Times New Roman" w:cs="Times New Roman"/>
        </w:rPr>
        <w:t xml:space="preserve">In 1968, the </w:t>
      </w:r>
      <w:r w:rsidR="00762E1D">
        <w:rPr>
          <w:rFonts w:ascii="Times New Roman" w:hAnsi="Times New Roman" w:cs="Times New Roman"/>
        </w:rPr>
        <w:t xml:space="preserve">IRS released </w:t>
      </w:r>
      <w:r w:rsidR="00EA162A">
        <w:rPr>
          <w:rFonts w:ascii="Times New Roman" w:hAnsi="Times New Roman" w:cs="Times New Roman"/>
        </w:rPr>
        <w:t xml:space="preserve">Revenue Procedure 68-23, which </w:t>
      </w:r>
      <w:r w:rsidR="00914C48">
        <w:rPr>
          <w:rFonts w:ascii="Times New Roman" w:hAnsi="Times New Roman" w:cs="Times New Roman"/>
        </w:rPr>
        <w:t xml:space="preserve">set forth guidelines </w:t>
      </w:r>
      <w:r w:rsidR="005408E1">
        <w:rPr>
          <w:rFonts w:ascii="Times New Roman" w:hAnsi="Times New Roman" w:cs="Times New Roman"/>
        </w:rPr>
        <w:t>that the</w:t>
      </w:r>
      <w:r w:rsidR="00914C48">
        <w:rPr>
          <w:rFonts w:ascii="Times New Roman" w:hAnsi="Times New Roman" w:cs="Times New Roman"/>
        </w:rPr>
        <w:t xml:space="preserve"> IRS </w:t>
      </w:r>
      <w:r w:rsidR="005408E1">
        <w:rPr>
          <w:rFonts w:ascii="Times New Roman" w:hAnsi="Times New Roman" w:cs="Times New Roman"/>
        </w:rPr>
        <w:t xml:space="preserve">would consider </w:t>
      </w:r>
      <w:r w:rsidR="00914C48">
        <w:rPr>
          <w:rFonts w:ascii="Times New Roman" w:hAnsi="Times New Roman" w:cs="Times New Roman"/>
        </w:rPr>
        <w:t xml:space="preserve">in providing </w:t>
      </w:r>
      <w:r w:rsidR="001966BA">
        <w:rPr>
          <w:rFonts w:ascii="Times New Roman" w:hAnsi="Times New Roman" w:cs="Times New Roman"/>
        </w:rPr>
        <w:t xml:space="preserve">an </w:t>
      </w:r>
      <w:r w:rsidR="00914C48">
        <w:rPr>
          <w:rFonts w:ascii="Times New Roman" w:hAnsi="Times New Roman" w:cs="Times New Roman"/>
        </w:rPr>
        <w:t xml:space="preserve">advance ruling that the principal purpose of the transaction was not one of </w:t>
      </w:r>
      <w:r w:rsidR="007B6CD1">
        <w:rPr>
          <w:rFonts w:ascii="Times New Roman" w:hAnsi="Times New Roman" w:cs="Times New Roman"/>
        </w:rPr>
        <w:t xml:space="preserve">Federal </w:t>
      </w:r>
      <w:r w:rsidR="00DC0BAD">
        <w:rPr>
          <w:rFonts w:ascii="Times New Roman" w:hAnsi="Times New Roman" w:cs="Times New Roman"/>
        </w:rPr>
        <w:t>tax avoidance</w:t>
      </w:r>
      <w:r w:rsidR="00EA162A">
        <w:rPr>
          <w:rFonts w:ascii="Times New Roman" w:hAnsi="Times New Roman" w:cs="Times New Roman"/>
        </w:rPr>
        <w:t xml:space="preserve"> (the “</w:t>
      </w:r>
      <w:r w:rsidR="009F2200">
        <w:rPr>
          <w:rFonts w:ascii="Times New Roman" w:hAnsi="Times New Roman" w:cs="Times New Roman"/>
          <w:b/>
          <w:bCs/>
        </w:rPr>
        <w:t>guidelines</w:t>
      </w:r>
      <w:r w:rsidR="00EA162A">
        <w:rPr>
          <w:rFonts w:ascii="Times New Roman" w:hAnsi="Times New Roman" w:cs="Times New Roman"/>
        </w:rPr>
        <w:t>”)</w:t>
      </w:r>
      <w:r w:rsidR="00DC0BAD">
        <w:rPr>
          <w:rFonts w:ascii="Times New Roman" w:hAnsi="Times New Roman" w:cs="Times New Roman"/>
        </w:rPr>
        <w:t>.</w:t>
      </w:r>
      <w:r w:rsidR="00D66DF0">
        <w:rPr>
          <w:rStyle w:val="FootnoteReference"/>
          <w:rFonts w:ascii="Times New Roman" w:hAnsi="Times New Roman" w:cs="Times New Roman"/>
        </w:rPr>
        <w:footnoteReference w:id="36"/>
      </w:r>
      <w:r w:rsidR="00DC0BAD">
        <w:rPr>
          <w:rFonts w:ascii="Times New Roman" w:hAnsi="Times New Roman" w:cs="Times New Roman"/>
        </w:rPr>
        <w:t xml:space="preserve"> </w:t>
      </w:r>
      <w:r w:rsidR="00095EAA">
        <w:rPr>
          <w:rFonts w:ascii="Times New Roman" w:hAnsi="Times New Roman" w:cs="Times New Roman"/>
        </w:rPr>
        <w:t xml:space="preserve">The </w:t>
      </w:r>
      <w:r w:rsidR="009F2200">
        <w:rPr>
          <w:rFonts w:ascii="Times New Roman" w:hAnsi="Times New Roman" w:cs="Times New Roman"/>
        </w:rPr>
        <w:t>guidelines</w:t>
      </w:r>
      <w:r w:rsidR="00095EAA">
        <w:rPr>
          <w:rFonts w:ascii="Times New Roman" w:hAnsi="Times New Roman" w:cs="Times New Roman"/>
        </w:rPr>
        <w:t xml:space="preserve"> included </w:t>
      </w:r>
      <w:r w:rsidR="00C55918">
        <w:rPr>
          <w:rFonts w:ascii="Times New Roman" w:hAnsi="Times New Roman" w:cs="Times New Roman"/>
        </w:rPr>
        <w:t xml:space="preserve">many </w:t>
      </w:r>
      <w:r w:rsidR="00AB7ED3">
        <w:rPr>
          <w:rFonts w:ascii="Times New Roman" w:hAnsi="Times New Roman" w:cs="Times New Roman"/>
        </w:rPr>
        <w:t xml:space="preserve">of the </w:t>
      </w:r>
      <w:r w:rsidR="00095EAA">
        <w:rPr>
          <w:rFonts w:ascii="Times New Roman" w:hAnsi="Times New Roman" w:cs="Times New Roman"/>
        </w:rPr>
        <w:t xml:space="preserve">elements </w:t>
      </w:r>
      <w:r w:rsidR="00851784">
        <w:rPr>
          <w:rFonts w:ascii="Times New Roman" w:hAnsi="Times New Roman" w:cs="Times New Roman"/>
        </w:rPr>
        <w:t xml:space="preserve">that would </w:t>
      </w:r>
      <w:r w:rsidR="00851784">
        <w:rPr>
          <w:rFonts w:ascii="Times New Roman" w:hAnsi="Times New Roman" w:cs="Times New Roman"/>
        </w:rPr>
        <w:lastRenderedPageBreak/>
        <w:t>eventually be included in t</w:t>
      </w:r>
      <w:r w:rsidR="005104E8">
        <w:rPr>
          <w:rFonts w:ascii="Times New Roman" w:hAnsi="Times New Roman" w:cs="Times New Roman"/>
        </w:rPr>
        <w:t xml:space="preserve">he </w:t>
      </w:r>
      <w:r w:rsidR="004714E0">
        <w:rPr>
          <w:rFonts w:ascii="Times New Roman" w:hAnsi="Times New Roman" w:cs="Times New Roman"/>
        </w:rPr>
        <w:t>367(b) regulations</w:t>
      </w:r>
      <w:r w:rsidR="00711FB5">
        <w:rPr>
          <w:rFonts w:ascii="Times New Roman" w:hAnsi="Times New Roman" w:cs="Times New Roman"/>
        </w:rPr>
        <w:t>, including</w:t>
      </w:r>
      <w:r w:rsidR="00314A47">
        <w:rPr>
          <w:rFonts w:ascii="Times New Roman" w:hAnsi="Times New Roman" w:cs="Times New Roman"/>
        </w:rPr>
        <w:t xml:space="preserve">, under certain circumstances, </w:t>
      </w:r>
      <w:r w:rsidR="00C55918">
        <w:rPr>
          <w:rFonts w:ascii="Times New Roman" w:hAnsi="Times New Roman" w:cs="Times New Roman"/>
        </w:rPr>
        <w:t>requiring an exchanging shareholder to include in its income as a dividend its share of th</w:t>
      </w:r>
      <w:r w:rsidR="00AB7ED3">
        <w:rPr>
          <w:rFonts w:ascii="Times New Roman" w:hAnsi="Times New Roman" w:cs="Times New Roman"/>
        </w:rPr>
        <w:t xml:space="preserve">e </w:t>
      </w:r>
      <w:r w:rsidR="007A6372">
        <w:rPr>
          <w:rFonts w:ascii="Times New Roman" w:hAnsi="Times New Roman" w:cs="Times New Roman"/>
        </w:rPr>
        <w:t>untaxed E&amp;P</w:t>
      </w:r>
      <w:r w:rsidR="007A6372" w:rsidRPr="007A6372">
        <w:rPr>
          <w:rFonts w:ascii="Times New Roman" w:hAnsi="Times New Roman" w:cs="Times New Roman"/>
        </w:rPr>
        <w:t xml:space="preserve"> of </w:t>
      </w:r>
      <w:r w:rsidR="004245FA">
        <w:rPr>
          <w:rFonts w:ascii="Times New Roman" w:hAnsi="Times New Roman" w:cs="Times New Roman"/>
        </w:rPr>
        <w:t>an acquired foreign</w:t>
      </w:r>
      <w:r w:rsidR="0018394E">
        <w:rPr>
          <w:rFonts w:ascii="Times New Roman" w:hAnsi="Times New Roman" w:cs="Times New Roman"/>
        </w:rPr>
        <w:t xml:space="preserve"> corporation </w:t>
      </w:r>
      <w:r w:rsidR="004245FA">
        <w:rPr>
          <w:rFonts w:ascii="Times New Roman" w:hAnsi="Times New Roman" w:cs="Times New Roman"/>
        </w:rPr>
        <w:t>in order to obtain a favorable ruling</w:t>
      </w:r>
      <w:r w:rsidR="0018394E">
        <w:rPr>
          <w:rFonts w:ascii="Times New Roman" w:hAnsi="Times New Roman" w:cs="Times New Roman"/>
        </w:rPr>
        <w:t>.</w:t>
      </w:r>
      <w:r w:rsidR="00391520">
        <w:rPr>
          <w:rFonts w:ascii="Times New Roman" w:hAnsi="Times New Roman" w:cs="Times New Roman"/>
        </w:rPr>
        <w:t xml:space="preserve"> </w:t>
      </w:r>
      <w:r w:rsidR="004245FA">
        <w:rPr>
          <w:rFonts w:ascii="Times New Roman" w:hAnsi="Times New Roman" w:cs="Times New Roman"/>
        </w:rPr>
        <w:t xml:space="preserve">However, unlike the </w:t>
      </w:r>
      <w:r w:rsidR="004714E0">
        <w:rPr>
          <w:rFonts w:ascii="Times New Roman" w:hAnsi="Times New Roman" w:cs="Times New Roman"/>
        </w:rPr>
        <w:t>367(b) regulations</w:t>
      </w:r>
      <w:r w:rsidR="004245FA">
        <w:rPr>
          <w:rFonts w:ascii="Times New Roman" w:hAnsi="Times New Roman" w:cs="Times New Roman"/>
        </w:rPr>
        <w:t xml:space="preserve">, the </w:t>
      </w:r>
      <w:r w:rsidR="009F2200">
        <w:rPr>
          <w:rFonts w:ascii="Times New Roman" w:hAnsi="Times New Roman" w:cs="Times New Roman"/>
        </w:rPr>
        <w:t>guidelines</w:t>
      </w:r>
      <w:r w:rsidR="004245FA" w:rsidRPr="004245FA">
        <w:rPr>
          <w:rFonts w:ascii="Times New Roman" w:hAnsi="Times New Roman" w:cs="Times New Roman"/>
        </w:rPr>
        <w:t xml:space="preserve"> did not </w:t>
      </w:r>
      <w:r w:rsidR="004245FA">
        <w:rPr>
          <w:rFonts w:ascii="Times New Roman" w:hAnsi="Times New Roman" w:cs="Times New Roman"/>
        </w:rPr>
        <w:t>purport to bind</w:t>
      </w:r>
      <w:r w:rsidR="004245FA" w:rsidRPr="004245FA">
        <w:rPr>
          <w:rFonts w:ascii="Times New Roman" w:hAnsi="Times New Roman" w:cs="Times New Roman"/>
        </w:rPr>
        <w:t xml:space="preserve"> either the IRS or the taxpayer</w:t>
      </w:r>
      <w:r w:rsidR="00E25293">
        <w:rPr>
          <w:rFonts w:ascii="Times New Roman" w:hAnsi="Times New Roman" w:cs="Times New Roman"/>
        </w:rPr>
        <w:t>; they merely</w:t>
      </w:r>
      <w:r w:rsidR="004245FA" w:rsidRPr="004245FA">
        <w:rPr>
          <w:rFonts w:ascii="Times New Roman" w:hAnsi="Times New Roman" w:cs="Times New Roman"/>
        </w:rPr>
        <w:t xml:space="preserve"> </w:t>
      </w:r>
      <w:r w:rsidR="004245FA">
        <w:rPr>
          <w:rFonts w:ascii="Times New Roman" w:hAnsi="Times New Roman" w:cs="Times New Roman"/>
        </w:rPr>
        <w:t>outline</w:t>
      </w:r>
      <w:r w:rsidR="00E25293">
        <w:rPr>
          <w:rFonts w:ascii="Times New Roman" w:hAnsi="Times New Roman" w:cs="Times New Roman"/>
        </w:rPr>
        <w:t>d</w:t>
      </w:r>
      <w:r w:rsidR="004245FA">
        <w:rPr>
          <w:rFonts w:ascii="Times New Roman" w:hAnsi="Times New Roman" w:cs="Times New Roman"/>
        </w:rPr>
        <w:t xml:space="preserve"> </w:t>
      </w:r>
      <w:r w:rsidR="004245FA" w:rsidRPr="004245FA">
        <w:rPr>
          <w:rFonts w:ascii="Times New Roman" w:hAnsi="Times New Roman" w:cs="Times New Roman"/>
        </w:rPr>
        <w:t xml:space="preserve">the </w:t>
      </w:r>
      <w:r w:rsidR="004245FA">
        <w:rPr>
          <w:rFonts w:ascii="Times New Roman" w:hAnsi="Times New Roman" w:cs="Times New Roman"/>
        </w:rPr>
        <w:t>circumstances in</w:t>
      </w:r>
      <w:r w:rsidR="004245FA" w:rsidRPr="004245FA">
        <w:rPr>
          <w:rFonts w:ascii="Times New Roman" w:hAnsi="Times New Roman" w:cs="Times New Roman"/>
        </w:rPr>
        <w:t xml:space="preserve"> which the IRS would “ordinarily” or “generally” issue a favorable ruling</w:t>
      </w:r>
      <w:r w:rsidR="004245FA">
        <w:rPr>
          <w:rFonts w:ascii="Times New Roman" w:hAnsi="Times New Roman" w:cs="Times New Roman"/>
        </w:rPr>
        <w:t xml:space="preserve">. </w:t>
      </w:r>
      <w:r w:rsidR="00143FCF">
        <w:rPr>
          <w:rFonts w:ascii="Times New Roman" w:hAnsi="Times New Roman" w:cs="Times New Roman"/>
        </w:rPr>
        <w:t xml:space="preserve">Indeed, </w:t>
      </w:r>
      <w:r w:rsidR="00143FCF" w:rsidRPr="00A31741">
        <w:rPr>
          <w:rFonts w:ascii="Times New Roman" w:hAnsi="Times New Roman" w:cs="Times New Roman"/>
          <w:i/>
        </w:rPr>
        <w:t>in lieu</w:t>
      </w:r>
      <w:r w:rsidR="00143FCF">
        <w:rPr>
          <w:rFonts w:ascii="Times New Roman" w:hAnsi="Times New Roman" w:cs="Times New Roman"/>
        </w:rPr>
        <w:t xml:space="preserve"> of </w:t>
      </w:r>
      <w:r w:rsidR="00E25293">
        <w:rPr>
          <w:rFonts w:ascii="Times New Roman" w:hAnsi="Times New Roman" w:cs="Times New Roman"/>
        </w:rPr>
        <w:t>accepting any</w:t>
      </w:r>
      <w:r w:rsidR="00143FCF">
        <w:rPr>
          <w:rFonts w:ascii="Times New Roman" w:hAnsi="Times New Roman" w:cs="Times New Roman"/>
        </w:rPr>
        <w:t xml:space="preserve"> “toll charge”</w:t>
      </w:r>
      <w:r w:rsidR="004245FA">
        <w:rPr>
          <w:rFonts w:ascii="Times New Roman" w:hAnsi="Times New Roman" w:cs="Times New Roman"/>
        </w:rPr>
        <w:t xml:space="preserve"> </w:t>
      </w:r>
      <w:r w:rsidR="00143FCF">
        <w:rPr>
          <w:rFonts w:ascii="Times New Roman" w:hAnsi="Times New Roman" w:cs="Times New Roman"/>
        </w:rPr>
        <w:t xml:space="preserve">described in the </w:t>
      </w:r>
      <w:r w:rsidR="009F2200">
        <w:rPr>
          <w:rFonts w:ascii="Times New Roman" w:hAnsi="Times New Roman" w:cs="Times New Roman"/>
        </w:rPr>
        <w:t>guidelines</w:t>
      </w:r>
      <w:r w:rsidR="00143FCF">
        <w:rPr>
          <w:rFonts w:ascii="Times New Roman" w:hAnsi="Times New Roman" w:cs="Times New Roman"/>
        </w:rPr>
        <w:t xml:space="preserve">, </w:t>
      </w:r>
      <w:r w:rsidR="004245FA">
        <w:rPr>
          <w:rFonts w:ascii="Times New Roman" w:hAnsi="Times New Roman" w:cs="Times New Roman"/>
        </w:rPr>
        <w:t xml:space="preserve">a </w:t>
      </w:r>
      <w:r w:rsidR="004245FA" w:rsidRPr="00F55CE7">
        <w:rPr>
          <w:rFonts w:ascii="Times New Roman" w:hAnsi="Times New Roman" w:cs="Times New Roman"/>
        </w:rPr>
        <w:t>shareholder</w:t>
      </w:r>
      <w:r w:rsidR="004245FA">
        <w:rPr>
          <w:rFonts w:ascii="Times New Roman" w:hAnsi="Times New Roman" w:cs="Times New Roman"/>
        </w:rPr>
        <w:t xml:space="preserve"> </w:t>
      </w:r>
      <w:r w:rsidR="004245FA" w:rsidRPr="00F55CE7">
        <w:rPr>
          <w:rFonts w:ascii="Times New Roman" w:hAnsi="Times New Roman" w:cs="Times New Roman"/>
        </w:rPr>
        <w:t xml:space="preserve">could effectively elect gain recognition </w:t>
      </w:r>
      <w:r w:rsidR="00143FCF">
        <w:rPr>
          <w:rFonts w:ascii="Times New Roman" w:hAnsi="Times New Roman" w:cs="Times New Roman"/>
        </w:rPr>
        <w:t xml:space="preserve">by merely </w:t>
      </w:r>
      <w:r w:rsidR="00E25293">
        <w:rPr>
          <w:rFonts w:ascii="Times New Roman" w:hAnsi="Times New Roman" w:cs="Times New Roman"/>
        </w:rPr>
        <w:t xml:space="preserve">failing to obtain </w:t>
      </w:r>
      <w:r w:rsidR="00143FCF">
        <w:rPr>
          <w:rFonts w:ascii="Times New Roman" w:hAnsi="Times New Roman" w:cs="Times New Roman"/>
        </w:rPr>
        <w:t>a</w:t>
      </w:r>
      <w:r w:rsidR="00963F3D">
        <w:rPr>
          <w:rFonts w:ascii="Times New Roman" w:hAnsi="Times New Roman" w:cs="Times New Roman"/>
        </w:rPr>
        <w:t>n advance</w:t>
      </w:r>
      <w:r w:rsidR="00143FCF">
        <w:rPr>
          <w:rFonts w:ascii="Times New Roman" w:hAnsi="Times New Roman" w:cs="Times New Roman"/>
        </w:rPr>
        <w:t xml:space="preserve"> ruling.</w:t>
      </w:r>
    </w:p>
    <w:p w14:paraId="3D91A73E" w14:textId="11B036E3" w:rsidR="00711FB5" w:rsidRDefault="00964180" w:rsidP="0096648D">
      <w:pPr>
        <w:widowControl w:val="0"/>
        <w:spacing w:after="240" w:line="240" w:lineRule="auto"/>
        <w:rPr>
          <w:rFonts w:ascii="Times New Roman" w:hAnsi="Times New Roman" w:cs="Times New Roman"/>
        </w:rPr>
      </w:pPr>
      <w:r>
        <w:rPr>
          <w:rFonts w:ascii="Times New Roman" w:hAnsi="Times New Roman" w:cs="Times New Roman"/>
        </w:rPr>
        <w:t xml:space="preserve">As </w:t>
      </w:r>
      <w:r w:rsidR="00391520">
        <w:rPr>
          <w:rFonts w:ascii="Times New Roman" w:hAnsi="Times New Roman" w:cs="Times New Roman"/>
        </w:rPr>
        <w:t xml:space="preserve">is relevant to </w:t>
      </w:r>
      <w:r w:rsidR="007B6CD1">
        <w:rPr>
          <w:rFonts w:ascii="Times New Roman" w:hAnsi="Times New Roman" w:cs="Times New Roman"/>
        </w:rPr>
        <w:t>B3 and B4</w:t>
      </w:r>
      <w:r w:rsidR="006A4FBE">
        <w:rPr>
          <w:rFonts w:ascii="Times New Roman" w:hAnsi="Times New Roman" w:cs="Times New Roman"/>
        </w:rPr>
        <w:t>, favorable ruling</w:t>
      </w:r>
      <w:r>
        <w:rPr>
          <w:rFonts w:ascii="Times New Roman" w:hAnsi="Times New Roman" w:cs="Times New Roman"/>
        </w:rPr>
        <w:t>s</w:t>
      </w:r>
      <w:r w:rsidR="006A4FBE">
        <w:rPr>
          <w:rFonts w:ascii="Times New Roman" w:hAnsi="Times New Roman" w:cs="Times New Roman"/>
        </w:rPr>
        <w:t xml:space="preserve"> would generally be provided </w:t>
      </w:r>
      <w:r>
        <w:rPr>
          <w:rFonts w:ascii="Times New Roman" w:hAnsi="Times New Roman" w:cs="Times New Roman"/>
        </w:rPr>
        <w:t>under the following circumstances and conditions</w:t>
      </w:r>
      <w:r w:rsidR="00391520">
        <w:rPr>
          <w:rFonts w:ascii="Times New Roman" w:hAnsi="Times New Roman" w:cs="Times New Roman"/>
        </w:rPr>
        <w:t>:</w:t>
      </w:r>
    </w:p>
    <w:p w14:paraId="5CB35734" w14:textId="0477E284" w:rsidR="00711FB5" w:rsidRPr="00AA61FC" w:rsidRDefault="00B2478B" w:rsidP="0096648D">
      <w:pPr>
        <w:pStyle w:val="ListParagraph"/>
        <w:widowControl w:val="0"/>
        <w:numPr>
          <w:ilvl w:val="0"/>
          <w:numId w:val="41"/>
        </w:numPr>
        <w:spacing w:after="240"/>
        <w:contextualSpacing w:val="0"/>
        <w:rPr>
          <w:rFonts w:ascii="Times New Roman" w:hAnsi="Times New Roman" w:cs="Times New Roman"/>
        </w:rPr>
      </w:pPr>
      <w:r w:rsidRPr="00AA61FC">
        <w:rPr>
          <w:rFonts w:ascii="Times New Roman" w:hAnsi="Times New Roman" w:cs="Times New Roman"/>
          <w:sz w:val="22"/>
          <w:szCs w:val="22"/>
        </w:rPr>
        <w:t>A</w:t>
      </w:r>
      <w:r w:rsidR="00711FB5" w:rsidRPr="004B000D">
        <w:rPr>
          <w:rFonts w:ascii="Times New Roman" w:hAnsi="Times New Roman" w:cs="Times New Roman"/>
          <w:sz w:val="22"/>
          <w:szCs w:val="22"/>
        </w:rPr>
        <w:t xml:space="preserve"> domestic corporation </w:t>
      </w:r>
      <w:r w:rsidR="00B77ED2">
        <w:rPr>
          <w:rFonts w:ascii="Times New Roman" w:hAnsi="Times New Roman" w:cs="Times New Roman"/>
          <w:sz w:val="22"/>
          <w:szCs w:val="22"/>
        </w:rPr>
        <w:t>(a “</w:t>
      </w:r>
      <w:r w:rsidR="00B77ED2" w:rsidRPr="00BA2137">
        <w:rPr>
          <w:rFonts w:ascii="Times New Roman" w:hAnsi="Times New Roman" w:cs="Times New Roman"/>
          <w:b/>
          <w:bCs/>
          <w:sz w:val="22"/>
          <w:szCs w:val="22"/>
        </w:rPr>
        <w:t>domestic parent corporation</w:t>
      </w:r>
      <w:r w:rsidR="00B77ED2">
        <w:rPr>
          <w:rFonts w:ascii="Times New Roman" w:hAnsi="Times New Roman" w:cs="Times New Roman"/>
          <w:sz w:val="22"/>
          <w:szCs w:val="22"/>
        </w:rPr>
        <w:t xml:space="preserve">”) </w:t>
      </w:r>
      <w:r w:rsidR="00711FB5" w:rsidRPr="004B000D">
        <w:rPr>
          <w:rFonts w:ascii="Times New Roman" w:hAnsi="Times New Roman" w:cs="Times New Roman"/>
          <w:sz w:val="22"/>
          <w:szCs w:val="22"/>
        </w:rPr>
        <w:t xml:space="preserve">acquires the assets of a foreign corporation in a complete liquidation under </w:t>
      </w:r>
      <w:r w:rsidRPr="004B000D">
        <w:rPr>
          <w:rFonts w:ascii="Times New Roman" w:hAnsi="Times New Roman" w:cs="Times New Roman"/>
          <w:sz w:val="22"/>
          <w:szCs w:val="22"/>
        </w:rPr>
        <w:t xml:space="preserve">Code Sec. </w:t>
      </w:r>
      <w:r w:rsidR="00711FB5" w:rsidRPr="004B000D">
        <w:rPr>
          <w:rFonts w:ascii="Times New Roman" w:hAnsi="Times New Roman" w:cs="Times New Roman"/>
          <w:sz w:val="22"/>
          <w:szCs w:val="22"/>
        </w:rPr>
        <w:t>332</w:t>
      </w:r>
      <w:r w:rsidRPr="00AA61FC">
        <w:rPr>
          <w:rFonts w:ascii="Times New Roman" w:hAnsi="Times New Roman" w:cs="Times New Roman"/>
          <w:sz w:val="22"/>
          <w:szCs w:val="22"/>
        </w:rPr>
        <w:t xml:space="preserve"> </w:t>
      </w:r>
      <w:r w:rsidR="002658A9">
        <w:rPr>
          <w:rFonts w:ascii="Times New Roman" w:hAnsi="Times New Roman" w:cs="Times New Roman"/>
          <w:sz w:val="22"/>
          <w:szCs w:val="22"/>
        </w:rPr>
        <w:t>(an “</w:t>
      </w:r>
      <w:r w:rsidR="002658A9" w:rsidRPr="00BA2137">
        <w:rPr>
          <w:rFonts w:ascii="Times New Roman" w:hAnsi="Times New Roman" w:cs="Times New Roman"/>
          <w:b/>
          <w:bCs/>
          <w:sz w:val="22"/>
          <w:szCs w:val="22"/>
        </w:rPr>
        <w:t>inbound liquidation</w:t>
      </w:r>
      <w:r w:rsidR="002658A9">
        <w:rPr>
          <w:rFonts w:ascii="Times New Roman" w:hAnsi="Times New Roman" w:cs="Times New Roman"/>
          <w:sz w:val="22"/>
          <w:szCs w:val="22"/>
        </w:rPr>
        <w:t xml:space="preserve">”) </w:t>
      </w:r>
      <w:r w:rsidRPr="00AA61FC">
        <w:rPr>
          <w:rFonts w:ascii="Times New Roman" w:hAnsi="Times New Roman" w:cs="Times New Roman"/>
          <w:sz w:val="22"/>
          <w:szCs w:val="22"/>
        </w:rPr>
        <w:t>and</w:t>
      </w:r>
      <w:r w:rsidR="00711FB5" w:rsidRPr="00AA61FC">
        <w:rPr>
          <w:rFonts w:ascii="Times New Roman" w:hAnsi="Times New Roman" w:cs="Times New Roman"/>
          <w:sz w:val="22"/>
          <w:szCs w:val="22"/>
        </w:rPr>
        <w:t xml:space="preserve"> </w:t>
      </w:r>
      <w:r w:rsidR="00711FB5" w:rsidRPr="004B000D">
        <w:rPr>
          <w:rFonts w:ascii="Times New Roman" w:hAnsi="Times New Roman" w:cs="Times New Roman"/>
          <w:sz w:val="22"/>
          <w:szCs w:val="22"/>
        </w:rPr>
        <w:t xml:space="preserve">the domestic </w:t>
      </w:r>
      <w:r w:rsidR="009F720A">
        <w:rPr>
          <w:rFonts w:ascii="Times New Roman" w:hAnsi="Times New Roman" w:cs="Times New Roman"/>
          <w:sz w:val="22"/>
          <w:szCs w:val="22"/>
        </w:rPr>
        <w:t xml:space="preserve">parent </w:t>
      </w:r>
      <w:r w:rsidR="00711FB5" w:rsidRPr="004B000D">
        <w:rPr>
          <w:rFonts w:ascii="Times New Roman" w:hAnsi="Times New Roman" w:cs="Times New Roman"/>
          <w:sz w:val="22"/>
          <w:szCs w:val="22"/>
        </w:rPr>
        <w:t xml:space="preserve">corporation </w:t>
      </w:r>
      <w:r w:rsidRPr="00AA61FC">
        <w:rPr>
          <w:rFonts w:ascii="Times New Roman" w:hAnsi="Times New Roman" w:cs="Times New Roman"/>
          <w:sz w:val="22"/>
          <w:szCs w:val="22"/>
        </w:rPr>
        <w:t>agrees</w:t>
      </w:r>
      <w:r w:rsidR="00711FB5" w:rsidRPr="004B000D">
        <w:rPr>
          <w:rFonts w:ascii="Times New Roman" w:hAnsi="Times New Roman" w:cs="Times New Roman"/>
          <w:sz w:val="22"/>
          <w:szCs w:val="22"/>
        </w:rPr>
        <w:t xml:space="preserve"> to include in its gross income</w:t>
      </w:r>
      <w:r w:rsidR="00686EA4" w:rsidRPr="004B000D">
        <w:rPr>
          <w:rFonts w:ascii="Times New Roman" w:hAnsi="Times New Roman" w:cs="Times New Roman"/>
          <w:sz w:val="22"/>
          <w:szCs w:val="22"/>
        </w:rPr>
        <w:t>,</w:t>
      </w:r>
      <w:r w:rsidR="00711FB5" w:rsidRPr="004B000D">
        <w:rPr>
          <w:rFonts w:ascii="Times New Roman" w:hAnsi="Times New Roman" w:cs="Times New Roman"/>
          <w:sz w:val="22"/>
          <w:szCs w:val="22"/>
        </w:rPr>
        <w:t xml:space="preserve"> </w:t>
      </w:r>
      <w:r w:rsidR="004B000D" w:rsidRPr="004B000D">
        <w:rPr>
          <w:rFonts w:ascii="Times New Roman" w:hAnsi="Times New Roman" w:cs="Times New Roman"/>
          <w:sz w:val="22"/>
          <w:szCs w:val="22"/>
        </w:rPr>
        <w:t xml:space="preserve">as a dividend for its taxable year in which the distribution in liquidation occurs, the portion of the accumulated </w:t>
      </w:r>
      <w:r w:rsidR="000618D8">
        <w:rPr>
          <w:rFonts w:ascii="Times New Roman" w:hAnsi="Times New Roman" w:cs="Times New Roman"/>
          <w:sz w:val="22"/>
          <w:szCs w:val="22"/>
        </w:rPr>
        <w:t>E&amp;P</w:t>
      </w:r>
      <w:r w:rsidR="004B000D" w:rsidRPr="004B000D">
        <w:rPr>
          <w:rFonts w:ascii="Times New Roman" w:hAnsi="Times New Roman" w:cs="Times New Roman"/>
          <w:sz w:val="22"/>
          <w:szCs w:val="22"/>
        </w:rPr>
        <w:t>, if any, of the foreign corporation for all taxable years of such foreign corporation properly attributable</w:t>
      </w:r>
      <w:r w:rsidR="00D87A27" w:rsidRPr="00B2478B">
        <w:rPr>
          <w:rStyle w:val="FootnoteReference"/>
          <w:rFonts w:ascii="Times New Roman" w:hAnsi="Times New Roman" w:cs="Times New Roman"/>
          <w:sz w:val="22"/>
          <w:szCs w:val="22"/>
        </w:rPr>
        <w:footnoteReference w:id="37"/>
      </w:r>
      <w:r w:rsidR="004B000D" w:rsidRPr="004B000D">
        <w:rPr>
          <w:rFonts w:ascii="Times New Roman" w:hAnsi="Times New Roman" w:cs="Times New Roman"/>
          <w:sz w:val="22"/>
          <w:szCs w:val="22"/>
        </w:rPr>
        <w:t xml:space="preserve"> to such domestic parent corporation</w:t>
      </w:r>
      <w:r w:rsidR="009F720A">
        <w:rPr>
          <w:rFonts w:ascii="Times New Roman" w:hAnsi="Times New Roman" w:cs="Times New Roman"/>
          <w:sz w:val="22"/>
          <w:szCs w:val="22"/>
        </w:rPr>
        <w:t>’</w:t>
      </w:r>
      <w:r w:rsidR="004B000D" w:rsidRPr="004B000D">
        <w:rPr>
          <w:rFonts w:ascii="Times New Roman" w:hAnsi="Times New Roman" w:cs="Times New Roman"/>
          <w:sz w:val="22"/>
          <w:szCs w:val="22"/>
        </w:rPr>
        <w:t>s stock in such</w:t>
      </w:r>
      <w:r w:rsidR="004B000D">
        <w:rPr>
          <w:rFonts w:ascii="Times New Roman" w:hAnsi="Times New Roman" w:cs="Times New Roman"/>
          <w:sz w:val="22"/>
          <w:szCs w:val="22"/>
        </w:rPr>
        <w:t xml:space="preserve"> </w:t>
      </w:r>
      <w:r w:rsidR="004B000D" w:rsidRPr="004B000D">
        <w:rPr>
          <w:rFonts w:ascii="Times New Roman" w:hAnsi="Times New Roman" w:cs="Times New Roman"/>
          <w:sz w:val="22"/>
          <w:szCs w:val="22"/>
        </w:rPr>
        <w:t>foreign corporation</w:t>
      </w:r>
      <w:r w:rsidR="00061FA5">
        <w:rPr>
          <w:rFonts w:ascii="Times New Roman" w:hAnsi="Times New Roman" w:cs="Times New Roman"/>
        </w:rPr>
        <w:t>.</w:t>
      </w:r>
      <w:r w:rsidR="00061FA5" w:rsidRPr="00B2478B">
        <w:rPr>
          <w:rStyle w:val="FootnoteReference"/>
          <w:rFonts w:ascii="Times New Roman" w:hAnsi="Times New Roman" w:cs="Times New Roman"/>
          <w:sz w:val="22"/>
          <w:szCs w:val="22"/>
        </w:rPr>
        <w:footnoteReference w:id="38"/>
      </w:r>
    </w:p>
    <w:p w14:paraId="4BDD3CDA" w14:textId="77777777" w:rsidR="00061FA5" w:rsidRDefault="00B2478B" w:rsidP="0096648D">
      <w:pPr>
        <w:pStyle w:val="ListParagraph"/>
        <w:widowControl w:val="0"/>
        <w:numPr>
          <w:ilvl w:val="0"/>
          <w:numId w:val="41"/>
        </w:numPr>
        <w:spacing w:after="240"/>
        <w:contextualSpacing w:val="0"/>
        <w:rPr>
          <w:rFonts w:ascii="Times New Roman" w:hAnsi="Times New Roman" w:cs="Times New Roman"/>
          <w:sz w:val="22"/>
          <w:szCs w:val="22"/>
        </w:rPr>
      </w:pPr>
      <w:r w:rsidRPr="00082D40">
        <w:rPr>
          <w:rFonts w:ascii="Times New Roman" w:hAnsi="Times New Roman" w:cs="Times New Roman"/>
          <w:sz w:val="22"/>
          <w:szCs w:val="22"/>
        </w:rPr>
        <w:t>A</w:t>
      </w:r>
      <w:r w:rsidR="00711FB5" w:rsidRPr="00AA61FC">
        <w:rPr>
          <w:rFonts w:ascii="Times New Roman" w:hAnsi="Times New Roman" w:cs="Times New Roman"/>
          <w:sz w:val="22"/>
          <w:szCs w:val="22"/>
        </w:rPr>
        <w:t xml:space="preserve"> domestic corporation acquires the assets of a foreign corporation in a</w:t>
      </w:r>
      <w:r w:rsidR="00526393">
        <w:rPr>
          <w:rFonts w:ascii="Times New Roman" w:hAnsi="Times New Roman" w:cs="Times New Roman"/>
          <w:sz w:val="22"/>
          <w:szCs w:val="22"/>
        </w:rPr>
        <w:t>n asset</w:t>
      </w:r>
      <w:r w:rsidR="00711FB5" w:rsidRPr="00AA61FC">
        <w:rPr>
          <w:rFonts w:ascii="Times New Roman" w:hAnsi="Times New Roman" w:cs="Times New Roman"/>
          <w:sz w:val="22"/>
          <w:szCs w:val="22"/>
        </w:rPr>
        <w:t xml:space="preserve"> reorganization under</w:t>
      </w:r>
      <w:r w:rsidR="00F55919" w:rsidRPr="00082D40">
        <w:rPr>
          <w:rFonts w:ascii="Times New Roman" w:hAnsi="Times New Roman" w:cs="Times New Roman"/>
          <w:sz w:val="22"/>
          <w:szCs w:val="22"/>
        </w:rPr>
        <w:t xml:space="preserve"> Code Sec. </w:t>
      </w:r>
      <w:r w:rsidR="00711FB5" w:rsidRPr="00AA61FC">
        <w:rPr>
          <w:rFonts w:ascii="Times New Roman" w:hAnsi="Times New Roman" w:cs="Times New Roman"/>
          <w:sz w:val="22"/>
          <w:szCs w:val="22"/>
        </w:rPr>
        <w:t>368</w:t>
      </w:r>
      <w:r w:rsidR="002658A9">
        <w:rPr>
          <w:rFonts w:ascii="Times New Roman" w:hAnsi="Times New Roman" w:cs="Times New Roman"/>
          <w:sz w:val="22"/>
          <w:szCs w:val="22"/>
        </w:rPr>
        <w:t xml:space="preserve"> (an “</w:t>
      </w:r>
      <w:r w:rsidR="002658A9" w:rsidRPr="00BA2137">
        <w:rPr>
          <w:rFonts w:ascii="Times New Roman" w:hAnsi="Times New Roman" w:cs="Times New Roman"/>
          <w:b/>
          <w:bCs/>
          <w:sz w:val="22"/>
          <w:szCs w:val="22"/>
        </w:rPr>
        <w:t xml:space="preserve">inbound </w:t>
      </w:r>
      <w:r w:rsidR="00586BAE" w:rsidRPr="00BA2137">
        <w:rPr>
          <w:rFonts w:ascii="Times New Roman" w:hAnsi="Times New Roman" w:cs="Times New Roman"/>
          <w:b/>
          <w:bCs/>
          <w:sz w:val="22"/>
          <w:szCs w:val="22"/>
        </w:rPr>
        <w:t>reorganization</w:t>
      </w:r>
      <w:r w:rsidR="00586BAE">
        <w:rPr>
          <w:rFonts w:ascii="Times New Roman" w:hAnsi="Times New Roman" w:cs="Times New Roman"/>
          <w:sz w:val="22"/>
          <w:szCs w:val="22"/>
        </w:rPr>
        <w:t>” and, with an inbound liquidation, an “</w:t>
      </w:r>
      <w:r w:rsidR="00586BAE" w:rsidRPr="00BA2137">
        <w:rPr>
          <w:rFonts w:ascii="Times New Roman" w:hAnsi="Times New Roman" w:cs="Times New Roman"/>
          <w:b/>
          <w:bCs/>
          <w:sz w:val="22"/>
          <w:szCs w:val="22"/>
        </w:rPr>
        <w:t>inbound nonrecognition transaction</w:t>
      </w:r>
      <w:r w:rsidR="00586BAE">
        <w:rPr>
          <w:rFonts w:ascii="Times New Roman" w:hAnsi="Times New Roman" w:cs="Times New Roman"/>
          <w:sz w:val="22"/>
          <w:szCs w:val="22"/>
        </w:rPr>
        <w:t>”)</w:t>
      </w:r>
      <w:r w:rsidR="00711FB5" w:rsidRPr="00AA61FC">
        <w:rPr>
          <w:rFonts w:ascii="Times New Roman" w:hAnsi="Times New Roman" w:cs="Times New Roman"/>
          <w:sz w:val="22"/>
          <w:szCs w:val="22"/>
        </w:rPr>
        <w:t xml:space="preserve">, </w:t>
      </w:r>
      <w:r w:rsidR="00FB4D3A">
        <w:rPr>
          <w:rFonts w:ascii="Times New Roman" w:hAnsi="Times New Roman" w:cs="Times New Roman"/>
          <w:sz w:val="22"/>
          <w:szCs w:val="22"/>
        </w:rPr>
        <w:t>and</w:t>
      </w:r>
    </w:p>
    <w:p w14:paraId="1F433923" w14:textId="54CFCA16" w:rsidR="00061FA5" w:rsidRDefault="009F720A" w:rsidP="0096648D">
      <w:pPr>
        <w:pStyle w:val="ListParagraph"/>
        <w:widowControl w:val="0"/>
        <w:numPr>
          <w:ilvl w:val="1"/>
          <w:numId w:val="41"/>
        </w:numPr>
        <w:spacing w:after="240"/>
        <w:ind w:left="1080"/>
        <w:contextualSpacing w:val="0"/>
        <w:rPr>
          <w:rFonts w:ascii="Times New Roman" w:hAnsi="Times New Roman" w:cs="Times New Roman"/>
          <w:sz w:val="22"/>
          <w:szCs w:val="22"/>
        </w:rPr>
      </w:pPr>
      <w:r>
        <w:rPr>
          <w:rFonts w:ascii="Times New Roman" w:hAnsi="Times New Roman" w:cs="Times New Roman"/>
          <w:sz w:val="22"/>
          <w:szCs w:val="22"/>
        </w:rPr>
        <w:t xml:space="preserve">(1) </w:t>
      </w:r>
      <w:r w:rsidR="00600629">
        <w:rPr>
          <w:rFonts w:ascii="Times New Roman" w:hAnsi="Times New Roman" w:cs="Times New Roman"/>
          <w:sz w:val="22"/>
          <w:szCs w:val="22"/>
        </w:rPr>
        <w:t>the</w:t>
      </w:r>
      <w:r w:rsidR="00711FB5" w:rsidRPr="00AA61FC">
        <w:rPr>
          <w:rFonts w:ascii="Times New Roman" w:hAnsi="Times New Roman" w:cs="Times New Roman"/>
          <w:sz w:val="22"/>
          <w:szCs w:val="22"/>
        </w:rPr>
        <w:t xml:space="preserve"> shareholders of the foreign corporation </w:t>
      </w:r>
      <w:r w:rsidR="00F55919" w:rsidRPr="00082D40">
        <w:rPr>
          <w:rFonts w:ascii="Times New Roman" w:hAnsi="Times New Roman" w:cs="Times New Roman"/>
          <w:sz w:val="22"/>
          <w:szCs w:val="22"/>
        </w:rPr>
        <w:t>agree</w:t>
      </w:r>
      <w:r w:rsidR="00711FB5" w:rsidRPr="00AA61FC">
        <w:rPr>
          <w:rFonts w:ascii="Times New Roman" w:hAnsi="Times New Roman" w:cs="Times New Roman"/>
          <w:sz w:val="22"/>
          <w:szCs w:val="22"/>
        </w:rPr>
        <w:t xml:space="preserve"> to include </w:t>
      </w:r>
      <w:r w:rsidR="00082D40" w:rsidRPr="00082D40">
        <w:rPr>
          <w:rFonts w:ascii="Times New Roman" w:hAnsi="Times New Roman" w:cs="Times New Roman"/>
          <w:sz w:val="22"/>
          <w:szCs w:val="22"/>
        </w:rPr>
        <w:t>in their gross income</w:t>
      </w:r>
      <w:r w:rsidR="00686EA4">
        <w:rPr>
          <w:rFonts w:ascii="Times New Roman" w:hAnsi="Times New Roman" w:cs="Times New Roman"/>
          <w:sz w:val="22"/>
          <w:szCs w:val="22"/>
        </w:rPr>
        <w:t>,</w:t>
      </w:r>
      <w:r w:rsidR="00082D40" w:rsidRPr="00082D40">
        <w:rPr>
          <w:rFonts w:ascii="Times New Roman" w:hAnsi="Times New Roman" w:cs="Times New Roman"/>
          <w:sz w:val="22"/>
          <w:szCs w:val="22"/>
        </w:rPr>
        <w:t xml:space="preserve"> as a dividend deemed</w:t>
      </w:r>
      <w:r w:rsidR="009712E4">
        <w:rPr>
          <w:rFonts w:ascii="Times New Roman" w:hAnsi="Times New Roman" w:cs="Times New Roman"/>
          <w:sz w:val="22"/>
          <w:szCs w:val="22"/>
        </w:rPr>
        <w:t>,</w:t>
      </w:r>
      <w:r w:rsidR="00082D40" w:rsidRPr="00082D40">
        <w:rPr>
          <w:rFonts w:ascii="Times New Roman" w:hAnsi="Times New Roman" w:cs="Times New Roman"/>
          <w:sz w:val="22"/>
          <w:szCs w:val="22"/>
        </w:rPr>
        <w:t xml:space="preserve"> for their taxable year in which the exchange of stock occurs, the portion of the E&amp;P, if any, of the foreign corporation properly attributable under Code Sec. 1248 to such </w:t>
      </w:r>
      <w:r w:rsidRPr="00082D40">
        <w:rPr>
          <w:rFonts w:ascii="Times New Roman" w:hAnsi="Times New Roman" w:cs="Times New Roman"/>
          <w:sz w:val="22"/>
          <w:szCs w:val="22"/>
        </w:rPr>
        <w:t>shareholders</w:t>
      </w:r>
      <w:r>
        <w:rPr>
          <w:rFonts w:ascii="Times New Roman" w:hAnsi="Times New Roman" w:cs="Times New Roman"/>
          <w:sz w:val="22"/>
          <w:szCs w:val="22"/>
        </w:rPr>
        <w:t>’</w:t>
      </w:r>
      <w:r w:rsidRPr="00082D40">
        <w:rPr>
          <w:rFonts w:ascii="Times New Roman" w:hAnsi="Times New Roman" w:cs="Times New Roman"/>
          <w:sz w:val="22"/>
          <w:szCs w:val="22"/>
        </w:rPr>
        <w:t xml:space="preserve"> </w:t>
      </w:r>
      <w:r w:rsidR="00082D40" w:rsidRPr="00082D40">
        <w:rPr>
          <w:rFonts w:ascii="Times New Roman" w:hAnsi="Times New Roman" w:cs="Times New Roman"/>
          <w:sz w:val="22"/>
          <w:szCs w:val="22"/>
        </w:rPr>
        <w:t xml:space="preserve">stock in such foreign corporation which would have been includible in their gross income under Code Sec. </w:t>
      </w:r>
      <w:r w:rsidR="00082D40" w:rsidRPr="00AA61FC">
        <w:rPr>
          <w:rFonts w:ascii="Times New Roman" w:hAnsi="Times New Roman" w:cs="Times New Roman"/>
          <w:sz w:val="22"/>
          <w:szCs w:val="22"/>
        </w:rPr>
        <w:t>1248 if at the</w:t>
      </w:r>
      <w:r w:rsidR="00082D40" w:rsidRPr="00082D40">
        <w:rPr>
          <w:rFonts w:ascii="Times New Roman" w:hAnsi="Times New Roman" w:cs="Times New Roman"/>
          <w:sz w:val="22"/>
          <w:szCs w:val="22"/>
        </w:rPr>
        <w:t xml:space="preserve"> </w:t>
      </w:r>
      <w:r w:rsidR="00082D40" w:rsidRPr="00AA61FC">
        <w:rPr>
          <w:rFonts w:ascii="Times New Roman" w:hAnsi="Times New Roman" w:cs="Times New Roman"/>
          <w:sz w:val="22"/>
          <w:szCs w:val="22"/>
        </w:rPr>
        <w:t>time of such acquisition the stock of such</w:t>
      </w:r>
      <w:r w:rsidR="00082D40" w:rsidRPr="00082D40">
        <w:rPr>
          <w:rFonts w:ascii="Times New Roman" w:hAnsi="Times New Roman" w:cs="Times New Roman"/>
          <w:sz w:val="22"/>
          <w:szCs w:val="22"/>
        </w:rPr>
        <w:t xml:space="preserve"> foreign corporation was exchanged in a taxable</w:t>
      </w:r>
      <w:r w:rsidR="00082D40">
        <w:rPr>
          <w:rFonts w:ascii="Times New Roman" w:hAnsi="Times New Roman" w:cs="Times New Roman"/>
          <w:sz w:val="22"/>
          <w:szCs w:val="22"/>
        </w:rPr>
        <w:t xml:space="preserve"> </w:t>
      </w:r>
      <w:r w:rsidR="00082D40" w:rsidRPr="00082D40">
        <w:rPr>
          <w:rFonts w:ascii="Times New Roman" w:hAnsi="Times New Roman" w:cs="Times New Roman"/>
          <w:sz w:val="22"/>
          <w:szCs w:val="22"/>
        </w:rPr>
        <w:t>exchange</w:t>
      </w:r>
      <w:r w:rsidR="00481A7E">
        <w:rPr>
          <w:rFonts w:ascii="Times New Roman" w:hAnsi="Times New Roman" w:cs="Times New Roman"/>
          <w:sz w:val="22"/>
          <w:szCs w:val="22"/>
        </w:rPr>
        <w:t xml:space="preserve">, and </w:t>
      </w:r>
    </w:p>
    <w:p w14:paraId="24E6A71E" w14:textId="08FEAC57" w:rsidR="00A4193F" w:rsidRPr="00082D40" w:rsidRDefault="00481A7E" w:rsidP="0096648D">
      <w:pPr>
        <w:pStyle w:val="ListParagraph"/>
        <w:widowControl w:val="0"/>
        <w:numPr>
          <w:ilvl w:val="1"/>
          <w:numId w:val="41"/>
        </w:numPr>
        <w:spacing w:after="240"/>
        <w:ind w:left="1080"/>
        <w:contextualSpacing w:val="0"/>
        <w:rPr>
          <w:rFonts w:ascii="Times New Roman" w:hAnsi="Times New Roman" w:cs="Times New Roman"/>
          <w:sz w:val="22"/>
          <w:szCs w:val="22"/>
        </w:rPr>
      </w:pPr>
      <w:r>
        <w:rPr>
          <w:rFonts w:ascii="Times New Roman" w:hAnsi="Times New Roman" w:cs="Times New Roman"/>
          <w:sz w:val="22"/>
          <w:szCs w:val="22"/>
        </w:rPr>
        <w:t>(2</w:t>
      </w:r>
      <w:r w:rsidR="009712E4">
        <w:rPr>
          <w:rFonts w:ascii="Times New Roman" w:hAnsi="Times New Roman" w:cs="Times New Roman"/>
          <w:sz w:val="22"/>
          <w:szCs w:val="22"/>
        </w:rPr>
        <w:t>) a</w:t>
      </w:r>
      <w:r>
        <w:rPr>
          <w:rFonts w:ascii="Times New Roman" w:hAnsi="Times New Roman" w:cs="Times New Roman"/>
          <w:sz w:val="22"/>
          <w:szCs w:val="22"/>
        </w:rPr>
        <w:t xml:space="preserve"> </w:t>
      </w:r>
      <w:r w:rsidR="008D2A6A">
        <w:rPr>
          <w:rFonts w:ascii="Times New Roman" w:hAnsi="Times New Roman" w:cs="Times New Roman"/>
          <w:sz w:val="22"/>
          <w:szCs w:val="22"/>
        </w:rPr>
        <w:t>domestic corporation</w:t>
      </w:r>
      <w:r w:rsidR="009712E4">
        <w:rPr>
          <w:rFonts w:ascii="Times New Roman" w:hAnsi="Times New Roman" w:cs="Times New Roman"/>
          <w:sz w:val="22"/>
          <w:szCs w:val="22"/>
        </w:rPr>
        <w:t xml:space="preserve"> that owns </w:t>
      </w:r>
      <w:r w:rsidR="006F5D93">
        <w:rPr>
          <w:rFonts w:ascii="Times New Roman" w:hAnsi="Times New Roman" w:cs="Times New Roman"/>
          <w:sz w:val="22"/>
          <w:szCs w:val="22"/>
        </w:rPr>
        <w:t>20</w:t>
      </w:r>
      <w:r w:rsidR="00523581">
        <w:rPr>
          <w:rFonts w:ascii="Times New Roman" w:hAnsi="Times New Roman" w:cs="Times New Roman"/>
          <w:sz w:val="22"/>
          <w:szCs w:val="22"/>
        </w:rPr>
        <w:t xml:space="preserve"> percent</w:t>
      </w:r>
      <w:r w:rsidR="002E17ED">
        <w:rPr>
          <w:rFonts w:ascii="Times New Roman" w:hAnsi="Times New Roman" w:cs="Times New Roman"/>
          <w:sz w:val="22"/>
          <w:szCs w:val="22"/>
        </w:rPr>
        <w:t xml:space="preserve"> or more of the outstanding stock of the foreign corporation</w:t>
      </w:r>
      <w:r w:rsidR="00B77ED2">
        <w:rPr>
          <w:rFonts w:ascii="Times New Roman" w:hAnsi="Times New Roman" w:cs="Times New Roman"/>
          <w:sz w:val="22"/>
          <w:szCs w:val="22"/>
        </w:rPr>
        <w:t xml:space="preserve"> (“</w:t>
      </w:r>
      <w:r w:rsidR="00B77ED2" w:rsidRPr="00BA2137">
        <w:rPr>
          <w:rFonts w:ascii="Times New Roman" w:hAnsi="Times New Roman" w:cs="Times New Roman"/>
          <w:b/>
          <w:bCs/>
          <w:sz w:val="22"/>
          <w:szCs w:val="22"/>
        </w:rPr>
        <w:t>20-percent domestic corporate shareholder</w:t>
      </w:r>
      <w:r w:rsidR="00B77ED2">
        <w:rPr>
          <w:rFonts w:ascii="Times New Roman" w:hAnsi="Times New Roman" w:cs="Times New Roman"/>
          <w:sz w:val="22"/>
          <w:szCs w:val="22"/>
        </w:rPr>
        <w:t>”)</w:t>
      </w:r>
      <w:r w:rsidR="002E17ED">
        <w:rPr>
          <w:rFonts w:ascii="Times New Roman" w:hAnsi="Times New Roman" w:cs="Times New Roman"/>
          <w:sz w:val="22"/>
          <w:szCs w:val="22"/>
        </w:rPr>
        <w:t xml:space="preserve"> agre</w:t>
      </w:r>
      <w:r w:rsidR="00BA13FE">
        <w:rPr>
          <w:rFonts w:ascii="Times New Roman" w:hAnsi="Times New Roman" w:cs="Times New Roman"/>
          <w:sz w:val="22"/>
          <w:szCs w:val="22"/>
        </w:rPr>
        <w:t>e</w:t>
      </w:r>
      <w:r w:rsidR="009712E4">
        <w:rPr>
          <w:rFonts w:ascii="Times New Roman" w:hAnsi="Times New Roman" w:cs="Times New Roman"/>
          <w:sz w:val="22"/>
          <w:szCs w:val="22"/>
        </w:rPr>
        <w:t>s</w:t>
      </w:r>
      <w:r w:rsidR="00BA13FE">
        <w:rPr>
          <w:rFonts w:ascii="Times New Roman" w:hAnsi="Times New Roman" w:cs="Times New Roman"/>
          <w:sz w:val="22"/>
          <w:szCs w:val="22"/>
        </w:rPr>
        <w:t xml:space="preserve"> </w:t>
      </w:r>
      <w:r w:rsidR="00185820">
        <w:rPr>
          <w:rFonts w:ascii="Times New Roman" w:hAnsi="Times New Roman" w:cs="Times New Roman"/>
          <w:sz w:val="22"/>
          <w:szCs w:val="22"/>
        </w:rPr>
        <w:t>to include</w:t>
      </w:r>
      <w:r w:rsidR="00DC6187">
        <w:rPr>
          <w:rFonts w:ascii="Times New Roman" w:hAnsi="Times New Roman" w:cs="Times New Roman"/>
          <w:sz w:val="22"/>
          <w:szCs w:val="22"/>
        </w:rPr>
        <w:t xml:space="preserve"> in its gross income </w:t>
      </w:r>
      <w:r w:rsidR="00DA264E">
        <w:rPr>
          <w:rFonts w:ascii="Times New Roman" w:hAnsi="Times New Roman" w:cs="Times New Roman"/>
          <w:sz w:val="22"/>
          <w:szCs w:val="22"/>
        </w:rPr>
        <w:t>as a dividend, for its taxable year in which the exchange of stock occurs, its portion of the accumulated E&amp;P</w:t>
      </w:r>
      <w:r w:rsidR="003E1BEE">
        <w:rPr>
          <w:rFonts w:ascii="Times New Roman" w:hAnsi="Times New Roman" w:cs="Times New Roman"/>
          <w:sz w:val="22"/>
          <w:szCs w:val="22"/>
        </w:rPr>
        <w:t>, if any, of the foreign corporation for all taxable years of such corporation properly attributable to the stock in which such domestic corporation owns in such foreign corporation</w:t>
      </w:r>
      <w:r w:rsidR="00061FA5">
        <w:rPr>
          <w:rFonts w:ascii="Times New Roman" w:hAnsi="Times New Roman" w:cs="Times New Roman"/>
          <w:sz w:val="22"/>
          <w:szCs w:val="22"/>
        </w:rPr>
        <w:t>.</w:t>
      </w:r>
      <w:r w:rsidR="00061FA5" w:rsidRPr="00B2478B">
        <w:rPr>
          <w:rStyle w:val="FootnoteReference"/>
          <w:rFonts w:ascii="Times New Roman" w:hAnsi="Times New Roman" w:cs="Times New Roman"/>
          <w:sz w:val="22"/>
          <w:szCs w:val="22"/>
        </w:rPr>
        <w:footnoteReference w:id="39"/>
      </w:r>
    </w:p>
    <w:p w14:paraId="37E87163" w14:textId="3773E172" w:rsidR="00061FA5" w:rsidRPr="00D82877" w:rsidRDefault="00061FA5" w:rsidP="0096648D">
      <w:pPr>
        <w:pStyle w:val="ListParagraph"/>
        <w:widowControl w:val="0"/>
        <w:numPr>
          <w:ilvl w:val="0"/>
          <w:numId w:val="41"/>
        </w:numPr>
        <w:spacing w:after="240"/>
        <w:contextualSpacing w:val="0"/>
        <w:rPr>
          <w:rFonts w:ascii="Times New Roman" w:hAnsi="Times New Roman" w:cs="Times New Roman"/>
          <w:sz w:val="22"/>
          <w:szCs w:val="22"/>
        </w:rPr>
      </w:pPr>
      <w:r w:rsidRPr="00061FA5">
        <w:rPr>
          <w:rFonts w:ascii="Times New Roman" w:hAnsi="Times New Roman" w:cs="Times New Roman"/>
          <w:sz w:val="22"/>
          <w:szCs w:val="22"/>
        </w:rPr>
        <w:t xml:space="preserve">A domestic corporation acquires the stock of a foreign corporation in a reorganization under </w:t>
      </w:r>
      <w:r w:rsidR="009F720A">
        <w:rPr>
          <w:rFonts w:ascii="Times New Roman" w:hAnsi="Times New Roman" w:cs="Times New Roman"/>
          <w:sz w:val="22"/>
          <w:szCs w:val="22"/>
        </w:rPr>
        <w:t xml:space="preserve">Code Sec. </w:t>
      </w:r>
      <w:r w:rsidRPr="00061FA5">
        <w:rPr>
          <w:rFonts w:ascii="Times New Roman" w:hAnsi="Times New Roman" w:cs="Times New Roman"/>
          <w:sz w:val="22"/>
          <w:szCs w:val="22"/>
        </w:rPr>
        <w:t xml:space="preserve">368 </w:t>
      </w:r>
      <w:r>
        <w:rPr>
          <w:rFonts w:ascii="Times New Roman" w:hAnsi="Times New Roman" w:cs="Times New Roman"/>
          <w:sz w:val="22"/>
          <w:szCs w:val="22"/>
        </w:rPr>
        <w:t>(an “</w:t>
      </w:r>
      <w:r w:rsidRPr="00D82877">
        <w:rPr>
          <w:rFonts w:ascii="Times New Roman" w:hAnsi="Times New Roman" w:cs="Times New Roman"/>
          <w:b/>
          <w:bCs/>
          <w:sz w:val="22"/>
          <w:szCs w:val="22"/>
        </w:rPr>
        <w:t>inbound stock reorganization</w:t>
      </w:r>
      <w:r>
        <w:rPr>
          <w:rFonts w:ascii="Times New Roman" w:hAnsi="Times New Roman" w:cs="Times New Roman"/>
          <w:sz w:val="22"/>
          <w:szCs w:val="22"/>
        </w:rPr>
        <w:t>”).</w:t>
      </w:r>
      <w:r w:rsidRPr="00B2478B">
        <w:rPr>
          <w:rStyle w:val="FootnoteReference"/>
          <w:rFonts w:ascii="Times New Roman" w:hAnsi="Times New Roman" w:cs="Times New Roman"/>
          <w:sz w:val="22"/>
          <w:szCs w:val="22"/>
        </w:rPr>
        <w:footnoteReference w:id="40"/>
      </w:r>
    </w:p>
    <w:p w14:paraId="5BB82E3D" w14:textId="68E21E8B" w:rsidR="00FB4D3A" w:rsidRPr="00964180" w:rsidRDefault="00FB4D3A" w:rsidP="0096648D">
      <w:pPr>
        <w:pStyle w:val="ListParagraph"/>
        <w:widowControl w:val="0"/>
        <w:numPr>
          <w:ilvl w:val="0"/>
          <w:numId w:val="41"/>
        </w:numPr>
        <w:spacing w:after="240"/>
        <w:contextualSpacing w:val="0"/>
        <w:rPr>
          <w:rFonts w:ascii="Times New Roman" w:hAnsi="Times New Roman" w:cs="Times New Roman"/>
          <w:sz w:val="22"/>
          <w:szCs w:val="22"/>
        </w:rPr>
      </w:pPr>
      <w:r w:rsidRPr="00964180">
        <w:rPr>
          <w:rFonts w:ascii="Times New Roman" w:hAnsi="Times New Roman" w:cs="Times New Roman"/>
          <w:sz w:val="22"/>
          <w:szCs w:val="22"/>
        </w:rPr>
        <w:t>A foreign corporation transfers property to another foreign corporation in an asset reorganization under Code Sec. 368</w:t>
      </w:r>
      <w:r w:rsidR="00D55E7E">
        <w:rPr>
          <w:rFonts w:ascii="Times New Roman" w:hAnsi="Times New Roman" w:cs="Times New Roman"/>
          <w:sz w:val="22"/>
          <w:szCs w:val="22"/>
        </w:rPr>
        <w:t xml:space="preserve"> (a “</w:t>
      </w:r>
      <w:r w:rsidR="00D55E7E" w:rsidRPr="00BA2137">
        <w:rPr>
          <w:rFonts w:ascii="Times New Roman" w:hAnsi="Times New Roman" w:cs="Times New Roman"/>
          <w:b/>
          <w:bCs/>
          <w:sz w:val="22"/>
          <w:szCs w:val="22"/>
        </w:rPr>
        <w:t xml:space="preserve">foreign-to-foreign </w:t>
      </w:r>
      <w:r w:rsidR="002C20CE" w:rsidRPr="00BA2137">
        <w:rPr>
          <w:rFonts w:ascii="Times New Roman" w:hAnsi="Times New Roman" w:cs="Times New Roman"/>
          <w:b/>
          <w:bCs/>
          <w:sz w:val="22"/>
          <w:szCs w:val="22"/>
        </w:rPr>
        <w:t>asset reorganization</w:t>
      </w:r>
      <w:r w:rsidR="002C20CE">
        <w:rPr>
          <w:rFonts w:ascii="Times New Roman" w:hAnsi="Times New Roman" w:cs="Times New Roman"/>
          <w:sz w:val="22"/>
          <w:szCs w:val="22"/>
        </w:rPr>
        <w:t>”)</w:t>
      </w:r>
      <w:r w:rsidRPr="00964180">
        <w:rPr>
          <w:rFonts w:ascii="Times New Roman" w:hAnsi="Times New Roman" w:cs="Times New Roman"/>
          <w:sz w:val="22"/>
          <w:szCs w:val="22"/>
        </w:rPr>
        <w:t xml:space="preserve">, </w:t>
      </w:r>
      <w:r w:rsidR="005540DB" w:rsidRPr="00964180">
        <w:rPr>
          <w:rFonts w:ascii="Times New Roman" w:hAnsi="Times New Roman" w:cs="Times New Roman"/>
          <w:sz w:val="22"/>
          <w:szCs w:val="22"/>
        </w:rPr>
        <w:t xml:space="preserve">if </w:t>
      </w:r>
      <w:r w:rsidRPr="007B6CD1">
        <w:rPr>
          <w:rFonts w:ascii="Times New Roman" w:hAnsi="Times New Roman" w:cs="Times New Roman"/>
          <w:sz w:val="22"/>
          <w:szCs w:val="22"/>
        </w:rPr>
        <w:t>the acquired foreign corporation is a</w:t>
      </w:r>
      <w:r w:rsidR="005540DB" w:rsidRPr="00964180">
        <w:rPr>
          <w:rFonts w:ascii="Times New Roman" w:hAnsi="Times New Roman" w:cs="Times New Roman"/>
          <w:sz w:val="22"/>
          <w:szCs w:val="22"/>
        </w:rPr>
        <w:t xml:space="preserve"> CFC</w:t>
      </w:r>
      <w:r w:rsidRPr="007B6CD1">
        <w:rPr>
          <w:rFonts w:ascii="Times New Roman" w:hAnsi="Times New Roman" w:cs="Times New Roman"/>
          <w:sz w:val="22"/>
          <w:szCs w:val="22"/>
        </w:rPr>
        <w:t xml:space="preserve"> at the time</w:t>
      </w:r>
      <w:r w:rsidR="005540DB" w:rsidRPr="00964180">
        <w:rPr>
          <w:rFonts w:ascii="Times New Roman" w:hAnsi="Times New Roman" w:cs="Times New Roman"/>
          <w:sz w:val="22"/>
          <w:szCs w:val="22"/>
        </w:rPr>
        <w:t xml:space="preserve"> </w:t>
      </w:r>
      <w:r w:rsidRPr="007B6CD1">
        <w:rPr>
          <w:rFonts w:ascii="Times New Roman" w:hAnsi="Times New Roman" w:cs="Times New Roman"/>
          <w:sz w:val="22"/>
          <w:szCs w:val="22"/>
        </w:rPr>
        <w:t xml:space="preserve">of the </w:t>
      </w:r>
      <w:r w:rsidR="00AD6DFF" w:rsidRPr="00964180">
        <w:rPr>
          <w:rFonts w:ascii="Times New Roman" w:hAnsi="Times New Roman" w:cs="Times New Roman"/>
          <w:sz w:val="22"/>
          <w:szCs w:val="22"/>
        </w:rPr>
        <w:t xml:space="preserve">reorganization </w:t>
      </w:r>
      <w:r w:rsidRPr="007B6CD1">
        <w:rPr>
          <w:rFonts w:ascii="Times New Roman" w:hAnsi="Times New Roman" w:cs="Times New Roman"/>
          <w:sz w:val="22"/>
          <w:szCs w:val="22"/>
        </w:rPr>
        <w:t xml:space="preserve">or at any time within </w:t>
      </w:r>
      <w:r w:rsidR="00AD6DFF" w:rsidRPr="00964180">
        <w:rPr>
          <w:rFonts w:ascii="Times New Roman" w:hAnsi="Times New Roman" w:cs="Times New Roman"/>
          <w:sz w:val="22"/>
          <w:szCs w:val="22"/>
        </w:rPr>
        <w:t xml:space="preserve">the prior </w:t>
      </w:r>
      <w:r w:rsidR="00523581">
        <w:rPr>
          <w:rFonts w:ascii="Times New Roman" w:hAnsi="Times New Roman" w:cs="Times New Roman"/>
          <w:sz w:val="22"/>
          <w:szCs w:val="22"/>
        </w:rPr>
        <w:t>five</w:t>
      </w:r>
      <w:r w:rsidR="00AD6DFF" w:rsidRPr="00964180">
        <w:rPr>
          <w:rFonts w:ascii="Times New Roman" w:hAnsi="Times New Roman" w:cs="Times New Roman"/>
          <w:sz w:val="22"/>
          <w:szCs w:val="22"/>
        </w:rPr>
        <w:t xml:space="preserve">-year period, </w:t>
      </w:r>
      <w:r w:rsidR="00686EA4" w:rsidRPr="00964180">
        <w:rPr>
          <w:rFonts w:ascii="Times New Roman" w:hAnsi="Times New Roman" w:cs="Times New Roman"/>
          <w:sz w:val="22"/>
          <w:szCs w:val="22"/>
        </w:rPr>
        <w:t xml:space="preserve">the </w:t>
      </w:r>
      <w:r w:rsidRPr="007B6CD1">
        <w:rPr>
          <w:rFonts w:ascii="Times New Roman" w:hAnsi="Times New Roman" w:cs="Times New Roman"/>
          <w:sz w:val="22"/>
          <w:szCs w:val="22"/>
        </w:rPr>
        <w:t>shareholders</w:t>
      </w:r>
      <w:r w:rsidR="00686EA4" w:rsidRPr="00964180">
        <w:rPr>
          <w:rFonts w:ascii="Times New Roman" w:hAnsi="Times New Roman" w:cs="Times New Roman"/>
          <w:sz w:val="22"/>
          <w:szCs w:val="22"/>
        </w:rPr>
        <w:t xml:space="preserve"> </w:t>
      </w:r>
      <w:r w:rsidRPr="007B6CD1">
        <w:rPr>
          <w:rFonts w:ascii="Times New Roman" w:hAnsi="Times New Roman" w:cs="Times New Roman"/>
          <w:sz w:val="22"/>
          <w:szCs w:val="22"/>
        </w:rPr>
        <w:t>of such corporation agree</w:t>
      </w:r>
      <w:r w:rsidR="00686EA4" w:rsidRPr="00964180">
        <w:rPr>
          <w:rFonts w:ascii="Times New Roman" w:hAnsi="Times New Roman" w:cs="Times New Roman"/>
          <w:sz w:val="22"/>
          <w:szCs w:val="22"/>
        </w:rPr>
        <w:t xml:space="preserve"> t</w:t>
      </w:r>
      <w:r w:rsidRPr="007B6CD1">
        <w:rPr>
          <w:rFonts w:ascii="Times New Roman" w:hAnsi="Times New Roman" w:cs="Times New Roman"/>
          <w:sz w:val="22"/>
          <w:szCs w:val="22"/>
        </w:rPr>
        <w:t xml:space="preserve">o include in their gross income, as a dividend </w:t>
      </w:r>
      <w:r w:rsidR="00B474D2" w:rsidRPr="00964180">
        <w:rPr>
          <w:rFonts w:ascii="Times New Roman" w:hAnsi="Times New Roman" w:cs="Times New Roman"/>
          <w:sz w:val="22"/>
          <w:szCs w:val="22"/>
        </w:rPr>
        <w:lastRenderedPageBreak/>
        <w:t xml:space="preserve">for </w:t>
      </w:r>
      <w:r w:rsidRPr="007B6CD1">
        <w:rPr>
          <w:rFonts w:ascii="Times New Roman" w:hAnsi="Times New Roman" w:cs="Times New Roman"/>
          <w:sz w:val="22"/>
          <w:szCs w:val="22"/>
        </w:rPr>
        <w:t>their taxable</w:t>
      </w:r>
      <w:r w:rsidR="00B474D2" w:rsidRPr="00964180">
        <w:rPr>
          <w:rFonts w:ascii="Times New Roman" w:hAnsi="Times New Roman" w:cs="Times New Roman"/>
          <w:sz w:val="22"/>
          <w:szCs w:val="22"/>
        </w:rPr>
        <w:t xml:space="preserve"> </w:t>
      </w:r>
      <w:r w:rsidRPr="007B6CD1">
        <w:rPr>
          <w:rFonts w:ascii="Times New Roman" w:hAnsi="Times New Roman" w:cs="Times New Roman"/>
          <w:sz w:val="22"/>
          <w:szCs w:val="22"/>
        </w:rPr>
        <w:t xml:space="preserve">year in which </w:t>
      </w:r>
      <w:r w:rsidR="00B474D2" w:rsidRPr="00964180">
        <w:rPr>
          <w:rFonts w:ascii="Times New Roman" w:hAnsi="Times New Roman" w:cs="Times New Roman"/>
          <w:sz w:val="22"/>
          <w:szCs w:val="22"/>
        </w:rPr>
        <w:t>the reorganization occurs</w:t>
      </w:r>
      <w:r w:rsidRPr="007B6CD1">
        <w:rPr>
          <w:rFonts w:ascii="Times New Roman" w:hAnsi="Times New Roman" w:cs="Times New Roman"/>
          <w:sz w:val="22"/>
          <w:szCs w:val="22"/>
        </w:rPr>
        <w:t>, the portion</w:t>
      </w:r>
      <w:r w:rsidR="00B474D2" w:rsidRPr="00964180">
        <w:rPr>
          <w:rFonts w:ascii="Times New Roman" w:hAnsi="Times New Roman" w:cs="Times New Roman"/>
          <w:sz w:val="22"/>
          <w:szCs w:val="22"/>
        </w:rPr>
        <w:t xml:space="preserve"> </w:t>
      </w:r>
      <w:r w:rsidRPr="007B6CD1">
        <w:rPr>
          <w:rFonts w:ascii="Times New Roman" w:hAnsi="Times New Roman" w:cs="Times New Roman"/>
          <w:sz w:val="22"/>
          <w:szCs w:val="22"/>
        </w:rPr>
        <w:t xml:space="preserve">of the </w:t>
      </w:r>
      <w:r w:rsidR="00B474D2" w:rsidRPr="00964180">
        <w:rPr>
          <w:rFonts w:ascii="Times New Roman" w:hAnsi="Times New Roman" w:cs="Times New Roman"/>
          <w:sz w:val="22"/>
          <w:szCs w:val="22"/>
        </w:rPr>
        <w:t xml:space="preserve">E&amp;P, if any, of </w:t>
      </w:r>
      <w:r w:rsidRPr="007B6CD1">
        <w:rPr>
          <w:rFonts w:ascii="Times New Roman" w:hAnsi="Times New Roman" w:cs="Times New Roman"/>
          <w:sz w:val="22"/>
          <w:szCs w:val="22"/>
        </w:rPr>
        <w:t>the acquired foreign corporation properly</w:t>
      </w:r>
      <w:r w:rsidR="00B474D2" w:rsidRPr="00964180">
        <w:rPr>
          <w:rFonts w:ascii="Times New Roman" w:hAnsi="Times New Roman" w:cs="Times New Roman"/>
          <w:sz w:val="22"/>
          <w:szCs w:val="22"/>
        </w:rPr>
        <w:t xml:space="preserve"> </w:t>
      </w:r>
      <w:r w:rsidRPr="007B6CD1">
        <w:rPr>
          <w:rFonts w:ascii="Times New Roman" w:hAnsi="Times New Roman" w:cs="Times New Roman"/>
          <w:sz w:val="22"/>
          <w:szCs w:val="22"/>
        </w:rPr>
        <w:t xml:space="preserve">attributable under </w:t>
      </w:r>
      <w:r w:rsidR="00B474D2" w:rsidRPr="00964180">
        <w:rPr>
          <w:rFonts w:ascii="Times New Roman" w:hAnsi="Times New Roman" w:cs="Times New Roman"/>
          <w:sz w:val="22"/>
          <w:szCs w:val="22"/>
        </w:rPr>
        <w:t xml:space="preserve">Code Sec. </w:t>
      </w:r>
      <w:r w:rsidRPr="007B6CD1">
        <w:rPr>
          <w:rFonts w:ascii="Times New Roman" w:hAnsi="Times New Roman" w:cs="Times New Roman"/>
          <w:sz w:val="22"/>
          <w:szCs w:val="22"/>
        </w:rPr>
        <w:t xml:space="preserve">1248 </w:t>
      </w:r>
      <w:r w:rsidR="00B474D2" w:rsidRPr="00964180">
        <w:rPr>
          <w:rFonts w:ascii="Times New Roman" w:hAnsi="Times New Roman" w:cs="Times New Roman"/>
          <w:sz w:val="22"/>
          <w:szCs w:val="22"/>
        </w:rPr>
        <w:t>to</w:t>
      </w:r>
      <w:r w:rsidRPr="007B6CD1">
        <w:rPr>
          <w:rFonts w:ascii="Times New Roman" w:hAnsi="Times New Roman" w:cs="Times New Roman"/>
          <w:sz w:val="22"/>
          <w:szCs w:val="22"/>
        </w:rPr>
        <w:t xml:space="preserve"> such </w:t>
      </w:r>
      <w:r w:rsidR="00B8364B" w:rsidRPr="007B6CD1">
        <w:rPr>
          <w:rFonts w:ascii="Times New Roman" w:hAnsi="Times New Roman" w:cs="Times New Roman"/>
          <w:sz w:val="22"/>
          <w:szCs w:val="22"/>
        </w:rPr>
        <w:t>shareholders</w:t>
      </w:r>
      <w:r w:rsidR="00B8364B">
        <w:rPr>
          <w:rFonts w:ascii="Times New Roman" w:hAnsi="Times New Roman" w:cs="Times New Roman"/>
          <w:sz w:val="22"/>
          <w:szCs w:val="22"/>
        </w:rPr>
        <w:t>’</w:t>
      </w:r>
      <w:r w:rsidRPr="007B6CD1">
        <w:rPr>
          <w:rFonts w:ascii="Times New Roman" w:hAnsi="Times New Roman" w:cs="Times New Roman"/>
          <w:sz w:val="22"/>
          <w:szCs w:val="22"/>
        </w:rPr>
        <w:t xml:space="preserve"> stock in such corporation</w:t>
      </w:r>
      <w:r w:rsidR="00B474D2" w:rsidRPr="00964180">
        <w:rPr>
          <w:rFonts w:ascii="Times New Roman" w:hAnsi="Times New Roman" w:cs="Times New Roman"/>
          <w:sz w:val="22"/>
          <w:szCs w:val="22"/>
        </w:rPr>
        <w:t xml:space="preserve"> </w:t>
      </w:r>
      <w:r w:rsidRPr="007B6CD1">
        <w:rPr>
          <w:rFonts w:ascii="Times New Roman" w:hAnsi="Times New Roman" w:cs="Times New Roman"/>
          <w:sz w:val="22"/>
          <w:szCs w:val="22"/>
        </w:rPr>
        <w:t>which would have been includible in their</w:t>
      </w:r>
      <w:r w:rsidR="00B474D2" w:rsidRPr="00964180">
        <w:rPr>
          <w:rFonts w:ascii="Times New Roman" w:hAnsi="Times New Roman" w:cs="Times New Roman"/>
          <w:sz w:val="22"/>
          <w:szCs w:val="22"/>
        </w:rPr>
        <w:t xml:space="preserve"> </w:t>
      </w:r>
      <w:r w:rsidR="00526393" w:rsidRPr="00964180">
        <w:rPr>
          <w:rFonts w:ascii="Times New Roman" w:hAnsi="Times New Roman" w:cs="Times New Roman"/>
          <w:sz w:val="22"/>
          <w:szCs w:val="22"/>
        </w:rPr>
        <w:t>g</w:t>
      </w:r>
      <w:r w:rsidRPr="007B6CD1">
        <w:rPr>
          <w:rFonts w:ascii="Times New Roman" w:hAnsi="Times New Roman" w:cs="Times New Roman"/>
          <w:sz w:val="22"/>
          <w:szCs w:val="22"/>
        </w:rPr>
        <w:t xml:space="preserve">ross income under </w:t>
      </w:r>
      <w:r w:rsidR="00B474D2" w:rsidRPr="00964180">
        <w:rPr>
          <w:rFonts w:ascii="Times New Roman" w:hAnsi="Times New Roman" w:cs="Times New Roman"/>
          <w:sz w:val="22"/>
          <w:szCs w:val="22"/>
        </w:rPr>
        <w:t xml:space="preserve">Code Sec. </w:t>
      </w:r>
      <w:r w:rsidR="00526393" w:rsidRPr="00964180">
        <w:rPr>
          <w:rFonts w:ascii="Times New Roman" w:hAnsi="Times New Roman" w:cs="Times New Roman"/>
          <w:sz w:val="22"/>
          <w:szCs w:val="22"/>
        </w:rPr>
        <w:t xml:space="preserve">1248 </w:t>
      </w:r>
      <w:r w:rsidRPr="007B6CD1">
        <w:rPr>
          <w:rFonts w:ascii="Times New Roman" w:hAnsi="Times New Roman" w:cs="Times New Roman"/>
          <w:sz w:val="22"/>
          <w:szCs w:val="22"/>
        </w:rPr>
        <w:t>if at the time of such acquisition the stock of</w:t>
      </w:r>
      <w:r w:rsidR="00B474D2" w:rsidRPr="00964180">
        <w:rPr>
          <w:rFonts w:ascii="Times New Roman" w:hAnsi="Times New Roman" w:cs="Times New Roman"/>
          <w:sz w:val="22"/>
          <w:szCs w:val="22"/>
        </w:rPr>
        <w:t xml:space="preserve"> </w:t>
      </w:r>
      <w:r w:rsidRPr="007B6CD1">
        <w:rPr>
          <w:rFonts w:ascii="Times New Roman" w:hAnsi="Times New Roman" w:cs="Times New Roman"/>
          <w:sz w:val="22"/>
          <w:szCs w:val="22"/>
        </w:rPr>
        <w:t>such corporation was exchanged in</w:t>
      </w:r>
      <w:r w:rsidR="00B474D2" w:rsidRPr="00964180">
        <w:rPr>
          <w:rFonts w:ascii="Times New Roman" w:hAnsi="Times New Roman" w:cs="Times New Roman"/>
          <w:sz w:val="22"/>
          <w:szCs w:val="22"/>
        </w:rPr>
        <w:t xml:space="preserve"> </w:t>
      </w:r>
      <w:r w:rsidRPr="007B6CD1">
        <w:rPr>
          <w:rFonts w:ascii="Times New Roman" w:hAnsi="Times New Roman" w:cs="Times New Roman"/>
          <w:sz w:val="22"/>
          <w:szCs w:val="22"/>
        </w:rPr>
        <w:t>a taxable exchange.</w:t>
      </w:r>
      <w:r w:rsidR="00B474D2" w:rsidRPr="00964180">
        <w:rPr>
          <w:rStyle w:val="FootnoteReference"/>
          <w:rFonts w:ascii="Times New Roman" w:hAnsi="Times New Roman" w:cs="Times New Roman"/>
          <w:sz w:val="22"/>
          <w:szCs w:val="22"/>
        </w:rPr>
        <w:footnoteReference w:id="41"/>
      </w:r>
    </w:p>
    <w:p w14:paraId="7B5439F8" w14:textId="2D2635A3" w:rsidR="00FF1920" w:rsidRPr="00562D0D" w:rsidRDefault="007F4531" w:rsidP="0096648D">
      <w:pPr>
        <w:pStyle w:val="ListParagraph"/>
        <w:widowControl w:val="0"/>
        <w:numPr>
          <w:ilvl w:val="0"/>
          <w:numId w:val="41"/>
        </w:numPr>
        <w:spacing w:after="240"/>
        <w:contextualSpacing w:val="0"/>
        <w:rPr>
          <w:rFonts w:ascii="Times New Roman" w:hAnsi="Times New Roman" w:cs="Times New Roman"/>
          <w:sz w:val="22"/>
          <w:szCs w:val="22"/>
        </w:rPr>
      </w:pPr>
      <w:r w:rsidRPr="00964180">
        <w:rPr>
          <w:rFonts w:ascii="Times New Roman" w:hAnsi="Times New Roman" w:cs="Times New Roman"/>
          <w:sz w:val="22"/>
          <w:szCs w:val="22"/>
        </w:rPr>
        <w:t>Stock of a</w:t>
      </w:r>
      <w:r w:rsidR="00FF1920" w:rsidRPr="00562D0D">
        <w:rPr>
          <w:rFonts w:ascii="Times New Roman" w:hAnsi="Times New Roman" w:cs="Times New Roman"/>
          <w:sz w:val="22"/>
          <w:szCs w:val="22"/>
        </w:rPr>
        <w:t xml:space="preserve"> </w:t>
      </w:r>
      <w:r w:rsidR="004A1C7E">
        <w:rPr>
          <w:rFonts w:ascii="Times New Roman" w:hAnsi="Times New Roman" w:cs="Times New Roman"/>
          <w:sz w:val="22"/>
          <w:szCs w:val="22"/>
        </w:rPr>
        <w:t xml:space="preserve">foreign </w:t>
      </w:r>
      <w:r w:rsidR="00FF1920" w:rsidRPr="00562D0D">
        <w:rPr>
          <w:rFonts w:ascii="Times New Roman" w:hAnsi="Times New Roman" w:cs="Times New Roman"/>
          <w:sz w:val="22"/>
          <w:szCs w:val="22"/>
        </w:rPr>
        <w:t>corporation is acquired in exchange for stock of another</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foreign corporation</w:t>
      </w:r>
      <w:r w:rsidR="00231FE4">
        <w:rPr>
          <w:rFonts w:ascii="Times New Roman" w:hAnsi="Times New Roman" w:cs="Times New Roman"/>
          <w:sz w:val="22"/>
          <w:szCs w:val="22"/>
        </w:rPr>
        <w:t xml:space="preserve"> in a reorganization</w:t>
      </w:r>
      <w:r w:rsidR="00D55E7E">
        <w:rPr>
          <w:rFonts w:ascii="Times New Roman" w:hAnsi="Times New Roman" w:cs="Times New Roman"/>
          <w:sz w:val="22"/>
          <w:szCs w:val="22"/>
        </w:rPr>
        <w:t xml:space="preserve"> (“</w:t>
      </w:r>
      <w:r w:rsidR="00D55E7E" w:rsidRPr="00BA2137">
        <w:rPr>
          <w:rFonts w:ascii="Times New Roman" w:hAnsi="Times New Roman" w:cs="Times New Roman"/>
          <w:b/>
          <w:bCs/>
          <w:sz w:val="22"/>
          <w:szCs w:val="22"/>
        </w:rPr>
        <w:t>foreign-to-foreign stock reorganization</w:t>
      </w:r>
      <w:r w:rsidR="00D55E7E">
        <w:rPr>
          <w:rFonts w:ascii="Times New Roman" w:hAnsi="Times New Roman" w:cs="Times New Roman"/>
          <w:sz w:val="22"/>
          <w:szCs w:val="22"/>
        </w:rPr>
        <w:t>”</w:t>
      </w:r>
      <w:r w:rsidR="004A1C7E">
        <w:rPr>
          <w:rFonts w:ascii="Times New Roman" w:hAnsi="Times New Roman" w:cs="Times New Roman"/>
          <w:sz w:val="22"/>
          <w:szCs w:val="22"/>
        </w:rPr>
        <w:t xml:space="preserve"> and a foreign-to-foreign stock reorganization and foreign-to-foreign asset reorganization, each a “</w:t>
      </w:r>
      <w:r w:rsidR="004A1C7E" w:rsidRPr="006C58AE">
        <w:rPr>
          <w:rFonts w:ascii="Times New Roman" w:hAnsi="Times New Roman" w:cs="Times New Roman"/>
          <w:b/>
          <w:bCs/>
          <w:sz w:val="22"/>
          <w:szCs w:val="22"/>
        </w:rPr>
        <w:t>foreign-to-foreign reorganization</w:t>
      </w:r>
      <w:r w:rsidR="00D55E7E">
        <w:rPr>
          <w:rFonts w:ascii="Times New Roman" w:hAnsi="Times New Roman" w:cs="Times New Roman"/>
          <w:sz w:val="22"/>
          <w:szCs w:val="22"/>
        </w:rPr>
        <w:t>”)</w:t>
      </w:r>
      <w:r w:rsidR="00FF1920" w:rsidRPr="00562D0D">
        <w:rPr>
          <w:rFonts w:ascii="Times New Roman" w:hAnsi="Times New Roman" w:cs="Times New Roman"/>
          <w:sz w:val="22"/>
          <w:szCs w:val="22"/>
        </w:rPr>
        <w:t xml:space="preserve"> and</w:t>
      </w:r>
      <w:r w:rsidR="00FC21C9" w:rsidRPr="00964180">
        <w:rPr>
          <w:rFonts w:ascii="Times New Roman" w:hAnsi="Times New Roman" w:cs="Times New Roman"/>
          <w:sz w:val="22"/>
          <w:szCs w:val="22"/>
        </w:rPr>
        <w:t xml:space="preserve"> </w:t>
      </w:r>
      <w:r w:rsidR="001C4CEC" w:rsidRPr="00964180">
        <w:rPr>
          <w:rFonts w:ascii="Times New Roman" w:hAnsi="Times New Roman" w:cs="Times New Roman"/>
          <w:sz w:val="22"/>
          <w:szCs w:val="22"/>
        </w:rPr>
        <w:t>immediately after the exchange</w:t>
      </w:r>
      <w:r w:rsidR="004047E8" w:rsidRPr="00964180">
        <w:rPr>
          <w:rFonts w:ascii="Times New Roman" w:hAnsi="Times New Roman" w:cs="Times New Roman"/>
          <w:sz w:val="22"/>
          <w:szCs w:val="22"/>
        </w:rPr>
        <w:t xml:space="preserve"> (1)</w:t>
      </w:r>
      <w:r w:rsidR="001C4CEC"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the acquiring foreign</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corporation</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 xml:space="preserve">is controlled (within the meaning of </w:t>
      </w:r>
      <w:r w:rsidR="00FC21C9" w:rsidRPr="00964180">
        <w:rPr>
          <w:rFonts w:ascii="Times New Roman" w:hAnsi="Times New Roman" w:cs="Times New Roman"/>
          <w:sz w:val="22"/>
          <w:szCs w:val="22"/>
        </w:rPr>
        <w:t xml:space="preserve">Code Sec. </w:t>
      </w:r>
      <w:r w:rsidR="00FF1920" w:rsidRPr="00562D0D">
        <w:rPr>
          <w:rFonts w:ascii="Times New Roman" w:hAnsi="Times New Roman" w:cs="Times New Roman"/>
          <w:sz w:val="22"/>
          <w:szCs w:val="22"/>
        </w:rPr>
        <w:t>954(d)(3)) by a person</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or persons who immediately prior to such exchange controlled</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the acquired foreign</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corporation</w:t>
      </w:r>
      <w:r w:rsidR="001C4CEC" w:rsidRPr="00964180">
        <w:rPr>
          <w:rFonts w:ascii="Times New Roman" w:hAnsi="Times New Roman" w:cs="Times New Roman"/>
          <w:sz w:val="22"/>
          <w:szCs w:val="22"/>
        </w:rPr>
        <w:t xml:space="preserve"> and (</w:t>
      </w:r>
      <w:r w:rsidR="004047E8" w:rsidRPr="00964180">
        <w:rPr>
          <w:rFonts w:ascii="Times New Roman" w:hAnsi="Times New Roman" w:cs="Times New Roman"/>
          <w:sz w:val="22"/>
          <w:szCs w:val="22"/>
        </w:rPr>
        <w:t>2</w:t>
      </w:r>
      <w:r w:rsidR="001C4CEC"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the acquired foreign corporation meets the</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requirements of</w:t>
      </w:r>
      <w:r w:rsidR="00FC21C9" w:rsidRPr="00964180">
        <w:rPr>
          <w:rFonts w:ascii="Times New Roman" w:hAnsi="Times New Roman" w:cs="Times New Roman"/>
          <w:sz w:val="22"/>
          <w:szCs w:val="22"/>
        </w:rPr>
        <w:t xml:space="preserve"> </w:t>
      </w:r>
      <w:r w:rsidR="00523581">
        <w:rPr>
          <w:rFonts w:ascii="Times New Roman" w:hAnsi="Times New Roman" w:cs="Times New Roman"/>
          <w:sz w:val="22"/>
          <w:szCs w:val="22"/>
        </w:rPr>
        <w:t xml:space="preserve">the exception of </w:t>
      </w:r>
      <w:r w:rsidR="001B39D7">
        <w:rPr>
          <w:rFonts w:ascii="Times New Roman" w:hAnsi="Times New Roman" w:cs="Times New Roman"/>
          <w:sz w:val="22"/>
          <w:szCs w:val="22"/>
        </w:rPr>
        <w:t xml:space="preserve">Code Sec. </w:t>
      </w:r>
      <w:r w:rsidR="00FF1920" w:rsidRPr="00562D0D">
        <w:rPr>
          <w:rFonts w:ascii="Times New Roman" w:hAnsi="Times New Roman" w:cs="Times New Roman"/>
          <w:sz w:val="22"/>
          <w:szCs w:val="22"/>
        </w:rPr>
        <w:t xml:space="preserve">954(c)(4)(A)(i) </w:t>
      </w:r>
      <w:r w:rsidR="00B65B5B">
        <w:rPr>
          <w:rFonts w:ascii="Times New Roman" w:hAnsi="Times New Roman" w:cs="Times New Roman"/>
          <w:sz w:val="22"/>
          <w:szCs w:val="22"/>
        </w:rPr>
        <w:t>(“</w:t>
      </w:r>
      <w:r w:rsidR="00B65B5B" w:rsidRPr="00B65B5B">
        <w:rPr>
          <w:rFonts w:ascii="Times New Roman" w:hAnsi="Times New Roman" w:cs="Times New Roman"/>
          <w:b/>
          <w:bCs/>
          <w:sz w:val="22"/>
          <w:szCs w:val="22"/>
        </w:rPr>
        <w:t>same country exception</w:t>
      </w:r>
      <w:r w:rsidR="00B65B5B">
        <w:rPr>
          <w:rFonts w:ascii="Times New Roman" w:hAnsi="Times New Roman" w:cs="Times New Roman"/>
          <w:sz w:val="22"/>
          <w:szCs w:val="22"/>
        </w:rPr>
        <w:t xml:space="preserve">”) </w:t>
      </w:r>
      <w:r w:rsidR="00FF1920" w:rsidRPr="00562D0D">
        <w:rPr>
          <w:rFonts w:ascii="Times New Roman" w:hAnsi="Times New Roman" w:cs="Times New Roman"/>
          <w:sz w:val="22"/>
          <w:szCs w:val="22"/>
        </w:rPr>
        <w:t>and (ii)</w:t>
      </w:r>
      <w:r w:rsidR="004047E8" w:rsidRPr="00964180">
        <w:rPr>
          <w:rFonts w:ascii="Times New Roman" w:hAnsi="Times New Roman" w:cs="Times New Roman"/>
          <w:sz w:val="22"/>
          <w:szCs w:val="22"/>
        </w:rPr>
        <w:t xml:space="preserve">. Further, if </w:t>
      </w:r>
      <w:r w:rsidR="00FC21C9" w:rsidRPr="00964180">
        <w:rPr>
          <w:rFonts w:ascii="Times New Roman" w:hAnsi="Times New Roman" w:cs="Times New Roman"/>
          <w:sz w:val="22"/>
          <w:szCs w:val="22"/>
        </w:rPr>
        <w:t xml:space="preserve">the </w:t>
      </w:r>
      <w:r w:rsidR="00FF1920" w:rsidRPr="00562D0D">
        <w:rPr>
          <w:rFonts w:ascii="Times New Roman" w:hAnsi="Times New Roman" w:cs="Times New Roman"/>
          <w:sz w:val="22"/>
          <w:szCs w:val="22"/>
        </w:rPr>
        <w:t>acquiring foreign</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 xml:space="preserve">corporation is not </w:t>
      </w:r>
      <w:r w:rsidR="00FC21C9" w:rsidRPr="00964180">
        <w:rPr>
          <w:rFonts w:ascii="Times New Roman" w:hAnsi="Times New Roman" w:cs="Times New Roman"/>
          <w:sz w:val="22"/>
          <w:szCs w:val="22"/>
        </w:rPr>
        <w:t xml:space="preserve">a CFC, </w:t>
      </w:r>
      <w:r w:rsidR="00FF1920" w:rsidRPr="00562D0D">
        <w:rPr>
          <w:rFonts w:ascii="Times New Roman" w:hAnsi="Times New Roman" w:cs="Times New Roman"/>
          <w:sz w:val="22"/>
          <w:szCs w:val="22"/>
        </w:rPr>
        <w:t>the shareholders of the acquired</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foreign</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corporation agree to include in their gross income</w:t>
      </w:r>
      <w:r w:rsidR="00523581">
        <w:rPr>
          <w:rFonts w:ascii="Times New Roman" w:hAnsi="Times New Roman" w:cs="Times New Roman"/>
          <w:sz w:val="22"/>
          <w:szCs w:val="22"/>
        </w:rPr>
        <w:t>,</w:t>
      </w:r>
      <w:r w:rsidR="00FF1920" w:rsidRPr="00562D0D">
        <w:rPr>
          <w:rFonts w:ascii="Times New Roman" w:hAnsi="Times New Roman" w:cs="Times New Roman"/>
          <w:sz w:val="22"/>
          <w:szCs w:val="22"/>
        </w:rPr>
        <w:t xml:space="preserve"> as a dividend for</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their taxable year in which the exchange of stock occurs, the portion</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 xml:space="preserve">of the </w:t>
      </w:r>
      <w:r w:rsidR="00FC21C9" w:rsidRPr="00964180">
        <w:rPr>
          <w:rFonts w:ascii="Times New Roman" w:hAnsi="Times New Roman" w:cs="Times New Roman"/>
          <w:sz w:val="22"/>
          <w:szCs w:val="22"/>
        </w:rPr>
        <w:t>E&amp;P</w:t>
      </w:r>
      <w:r w:rsidR="00FF1920" w:rsidRPr="00562D0D">
        <w:rPr>
          <w:rFonts w:ascii="Times New Roman" w:hAnsi="Times New Roman" w:cs="Times New Roman"/>
          <w:sz w:val="22"/>
          <w:szCs w:val="22"/>
        </w:rPr>
        <w:t>, if any, of the acquired foreign corporation properly</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attributable under</w:t>
      </w:r>
      <w:r w:rsidR="00FC21C9" w:rsidRPr="00964180">
        <w:rPr>
          <w:rFonts w:ascii="Times New Roman" w:hAnsi="Times New Roman" w:cs="Times New Roman"/>
          <w:sz w:val="22"/>
          <w:szCs w:val="22"/>
        </w:rPr>
        <w:t xml:space="preserve"> Code Sec.</w:t>
      </w:r>
      <w:r w:rsidR="00DC53FE">
        <w:rPr>
          <w:rFonts w:ascii="Times New Roman" w:hAnsi="Times New Roman" w:cs="Times New Roman"/>
          <w:sz w:val="22"/>
          <w:szCs w:val="22"/>
        </w:rPr>
        <w:t>1248</w:t>
      </w:r>
      <w:r w:rsidR="00FF1920" w:rsidRPr="00562D0D">
        <w:rPr>
          <w:rFonts w:ascii="Times New Roman" w:hAnsi="Times New Roman" w:cs="Times New Roman"/>
          <w:sz w:val="22"/>
          <w:szCs w:val="22"/>
        </w:rPr>
        <w:t xml:space="preserve"> to such </w:t>
      </w:r>
      <w:r w:rsidR="00D45D19" w:rsidRPr="00562D0D">
        <w:rPr>
          <w:rFonts w:ascii="Times New Roman" w:hAnsi="Times New Roman" w:cs="Times New Roman"/>
          <w:sz w:val="22"/>
          <w:szCs w:val="22"/>
        </w:rPr>
        <w:t>shareholders</w:t>
      </w:r>
      <w:r w:rsidR="00D45D19">
        <w:rPr>
          <w:rFonts w:ascii="Times New Roman" w:hAnsi="Times New Roman" w:cs="Times New Roman"/>
          <w:sz w:val="22"/>
          <w:szCs w:val="22"/>
        </w:rPr>
        <w:t>’</w:t>
      </w:r>
      <w:r w:rsidR="00D45D19" w:rsidRPr="00562D0D">
        <w:rPr>
          <w:rFonts w:ascii="Times New Roman" w:hAnsi="Times New Roman" w:cs="Times New Roman"/>
          <w:sz w:val="22"/>
          <w:szCs w:val="22"/>
        </w:rPr>
        <w:t xml:space="preserve"> </w:t>
      </w:r>
      <w:r w:rsidR="00FF1920" w:rsidRPr="00562D0D">
        <w:rPr>
          <w:rFonts w:ascii="Times New Roman" w:hAnsi="Times New Roman" w:cs="Times New Roman"/>
          <w:sz w:val="22"/>
          <w:szCs w:val="22"/>
        </w:rPr>
        <w:t>stock in such acquired foreign corporation which</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would</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 xml:space="preserve">have been includible in their income under </w:t>
      </w:r>
      <w:r w:rsidR="00FC21C9" w:rsidRPr="00964180">
        <w:rPr>
          <w:rFonts w:ascii="Times New Roman" w:hAnsi="Times New Roman" w:cs="Times New Roman"/>
          <w:sz w:val="22"/>
          <w:szCs w:val="22"/>
        </w:rPr>
        <w:t>Code Sec.</w:t>
      </w:r>
      <w:r w:rsidR="00523581">
        <w:rPr>
          <w:rFonts w:ascii="Times New Roman" w:hAnsi="Times New Roman" w:cs="Times New Roman"/>
          <w:sz w:val="22"/>
          <w:szCs w:val="22"/>
        </w:rPr>
        <w:t xml:space="preserve"> 1248</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if at the time of such</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acquisition the stock of such acquired foreign</w:t>
      </w:r>
      <w:r w:rsidR="00FC21C9"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corporation was exchanged in a taxable</w:t>
      </w:r>
      <w:r w:rsidR="00FC21C9" w:rsidRPr="00964180">
        <w:rPr>
          <w:rFonts w:ascii="Times New Roman" w:hAnsi="Times New Roman" w:cs="Times New Roman"/>
          <w:sz w:val="22"/>
          <w:szCs w:val="22"/>
        </w:rPr>
        <w:t xml:space="preserve"> e</w:t>
      </w:r>
      <w:r w:rsidR="00FF1920" w:rsidRPr="00562D0D">
        <w:rPr>
          <w:rFonts w:ascii="Times New Roman" w:hAnsi="Times New Roman" w:cs="Times New Roman"/>
          <w:sz w:val="22"/>
          <w:szCs w:val="22"/>
        </w:rPr>
        <w:t>xchange.</w:t>
      </w:r>
      <w:r w:rsidR="00FC21C9" w:rsidRPr="00964180">
        <w:rPr>
          <w:rStyle w:val="FootnoteReference"/>
          <w:rFonts w:ascii="Times New Roman" w:hAnsi="Times New Roman" w:cs="Times New Roman"/>
          <w:sz w:val="22"/>
          <w:szCs w:val="22"/>
        </w:rPr>
        <w:footnoteReference w:id="42"/>
      </w:r>
      <w:r w:rsidR="00FC21C9" w:rsidRPr="00964180">
        <w:rPr>
          <w:rFonts w:ascii="Times New Roman" w:hAnsi="Times New Roman" w:cs="Times New Roman"/>
          <w:sz w:val="22"/>
          <w:szCs w:val="22"/>
        </w:rPr>
        <w:t xml:space="preserve"> </w:t>
      </w:r>
    </w:p>
    <w:p w14:paraId="68237AF8" w14:textId="2FFFD865" w:rsidR="00FF1920" w:rsidRPr="00964180" w:rsidRDefault="00304C6E" w:rsidP="0096648D">
      <w:pPr>
        <w:pStyle w:val="ListParagraph"/>
        <w:widowControl w:val="0"/>
        <w:numPr>
          <w:ilvl w:val="0"/>
          <w:numId w:val="41"/>
        </w:numPr>
        <w:spacing w:after="240"/>
        <w:contextualSpacing w:val="0"/>
        <w:rPr>
          <w:rFonts w:ascii="Times New Roman" w:hAnsi="Times New Roman" w:cs="Times New Roman"/>
          <w:sz w:val="22"/>
          <w:szCs w:val="22"/>
        </w:rPr>
      </w:pPr>
      <w:r w:rsidRPr="00964180">
        <w:rPr>
          <w:rFonts w:ascii="Times New Roman" w:hAnsi="Times New Roman" w:cs="Times New Roman"/>
          <w:sz w:val="22"/>
          <w:szCs w:val="22"/>
        </w:rPr>
        <w:t xml:space="preserve">Stock </w:t>
      </w:r>
      <w:r w:rsidR="00FF1920" w:rsidRPr="00562D0D">
        <w:rPr>
          <w:rFonts w:ascii="Times New Roman" w:hAnsi="Times New Roman" w:cs="Times New Roman"/>
          <w:sz w:val="22"/>
          <w:szCs w:val="22"/>
        </w:rPr>
        <w:t>of a foreign corporation is acquired in exchange for stock of another</w:t>
      </w:r>
      <w:r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 xml:space="preserve">foreign corporation </w:t>
      </w:r>
      <w:r w:rsidR="00D55E7E">
        <w:rPr>
          <w:rFonts w:ascii="Times New Roman" w:hAnsi="Times New Roman" w:cs="Times New Roman"/>
          <w:sz w:val="22"/>
          <w:szCs w:val="22"/>
        </w:rPr>
        <w:t xml:space="preserve">in a </w:t>
      </w:r>
      <w:r w:rsidR="00D55E7E" w:rsidRPr="00D55E7E">
        <w:rPr>
          <w:rFonts w:ascii="Times New Roman" w:hAnsi="Times New Roman" w:cs="Times New Roman"/>
          <w:sz w:val="22"/>
          <w:szCs w:val="22"/>
        </w:rPr>
        <w:t xml:space="preserve">foreign-to-foreign stock reorganization </w:t>
      </w:r>
      <w:r w:rsidR="00FF1920" w:rsidRPr="00562D0D">
        <w:rPr>
          <w:rFonts w:ascii="Times New Roman" w:hAnsi="Times New Roman" w:cs="Times New Roman"/>
          <w:sz w:val="22"/>
          <w:szCs w:val="22"/>
        </w:rPr>
        <w:t>and immediately after the exchange the shareholders of the acquired</w:t>
      </w:r>
      <w:r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 xml:space="preserve">corporation do not own directly or indirectly, within the meaning of </w:t>
      </w:r>
      <w:r w:rsidR="004047E8" w:rsidRPr="00964180">
        <w:rPr>
          <w:rFonts w:ascii="Times New Roman" w:hAnsi="Times New Roman" w:cs="Times New Roman"/>
          <w:sz w:val="22"/>
          <w:szCs w:val="22"/>
        </w:rPr>
        <w:t>Code Sec</w:t>
      </w:r>
      <w:r w:rsidR="00D256B0">
        <w:rPr>
          <w:rFonts w:ascii="Times New Roman" w:hAnsi="Times New Roman" w:cs="Times New Roman"/>
          <w:sz w:val="22"/>
          <w:szCs w:val="22"/>
        </w:rPr>
        <w:t>.</w:t>
      </w:r>
      <w:r w:rsidR="004047E8"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958</w:t>
      </w:r>
      <w:r w:rsidR="00ED2C2D">
        <w:rPr>
          <w:rFonts w:ascii="Times New Roman" w:hAnsi="Times New Roman" w:cs="Times New Roman"/>
          <w:sz w:val="22"/>
          <w:szCs w:val="22"/>
        </w:rPr>
        <w:t xml:space="preserve">, more than </w:t>
      </w:r>
      <w:r w:rsidR="006F5D93">
        <w:rPr>
          <w:rFonts w:ascii="Times New Roman" w:hAnsi="Times New Roman" w:cs="Times New Roman"/>
          <w:sz w:val="22"/>
          <w:szCs w:val="22"/>
        </w:rPr>
        <w:t>50</w:t>
      </w:r>
      <w:r w:rsidR="00ED2C2D">
        <w:rPr>
          <w:rFonts w:ascii="Times New Roman" w:hAnsi="Times New Roman" w:cs="Times New Roman"/>
          <w:sz w:val="22"/>
          <w:szCs w:val="22"/>
        </w:rPr>
        <w:t xml:space="preserve"> </w:t>
      </w:r>
      <w:r w:rsidR="00FF1920" w:rsidRPr="00562D0D">
        <w:rPr>
          <w:rFonts w:ascii="Times New Roman" w:hAnsi="Times New Roman" w:cs="Times New Roman"/>
          <w:sz w:val="22"/>
          <w:szCs w:val="22"/>
        </w:rPr>
        <w:t xml:space="preserve">percent of the total combined voting power of the acquiring foreign corporation. Moreover, </w:t>
      </w:r>
      <w:r w:rsidR="004047E8" w:rsidRPr="00964180">
        <w:rPr>
          <w:rFonts w:ascii="Times New Roman" w:hAnsi="Times New Roman" w:cs="Times New Roman"/>
          <w:sz w:val="22"/>
          <w:szCs w:val="22"/>
        </w:rPr>
        <w:t xml:space="preserve">if the </w:t>
      </w:r>
      <w:r w:rsidR="00FF1920" w:rsidRPr="00562D0D">
        <w:rPr>
          <w:rFonts w:ascii="Times New Roman" w:hAnsi="Times New Roman" w:cs="Times New Roman"/>
          <w:sz w:val="22"/>
          <w:szCs w:val="22"/>
        </w:rPr>
        <w:t>acquiring</w:t>
      </w:r>
      <w:r w:rsidR="004047E8"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foreign</w:t>
      </w:r>
      <w:r w:rsidR="004047E8"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 xml:space="preserve">corporation is not a </w:t>
      </w:r>
      <w:r w:rsidR="004047E8" w:rsidRPr="00964180">
        <w:rPr>
          <w:rFonts w:ascii="Times New Roman" w:hAnsi="Times New Roman" w:cs="Times New Roman"/>
          <w:sz w:val="22"/>
          <w:szCs w:val="22"/>
        </w:rPr>
        <w:t>CFC</w:t>
      </w:r>
      <w:r w:rsidR="004047E8" w:rsidRPr="00562D0D">
        <w:rPr>
          <w:rFonts w:ascii="Times New Roman" w:hAnsi="Times New Roman" w:cs="Times New Roman"/>
          <w:sz w:val="22"/>
          <w:szCs w:val="22"/>
        </w:rPr>
        <w:t xml:space="preserve">, </w:t>
      </w:r>
      <w:r w:rsidR="00FF1920" w:rsidRPr="00562D0D">
        <w:rPr>
          <w:rFonts w:ascii="Times New Roman" w:hAnsi="Times New Roman" w:cs="Times New Roman"/>
          <w:sz w:val="22"/>
          <w:szCs w:val="22"/>
        </w:rPr>
        <w:t>shareholders of</w:t>
      </w:r>
      <w:r w:rsidR="004047E8" w:rsidRPr="00562D0D">
        <w:rPr>
          <w:rFonts w:ascii="Times New Roman" w:hAnsi="Times New Roman" w:cs="Times New Roman"/>
          <w:sz w:val="22"/>
          <w:szCs w:val="22"/>
        </w:rPr>
        <w:t xml:space="preserve"> </w:t>
      </w:r>
      <w:r w:rsidR="00FF1920" w:rsidRPr="00562D0D">
        <w:rPr>
          <w:rFonts w:ascii="Times New Roman" w:hAnsi="Times New Roman" w:cs="Times New Roman"/>
          <w:sz w:val="22"/>
          <w:szCs w:val="22"/>
        </w:rPr>
        <w:t>the acquired foreign</w:t>
      </w:r>
      <w:r w:rsidR="004047E8"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corporation agree to include in their gross income as a dividend</w:t>
      </w:r>
      <w:r w:rsidR="004047E8" w:rsidRPr="00964180">
        <w:rPr>
          <w:rFonts w:ascii="Times New Roman" w:hAnsi="Times New Roman" w:cs="Times New Roman"/>
          <w:sz w:val="22"/>
          <w:szCs w:val="22"/>
        </w:rPr>
        <w:t xml:space="preserve"> </w:t>
      </w:r>
      <w:r w:rsidR="00FF1920" w:rsidRPr="00562D0D">
        <w:rPr>
          <w:rFonts w:ascii="Times New Roman" w:hAnsi="Times New Roman" w:cs="Times New Roman"/>
          <w:sz w:val="22"/>
          <w:szCs w:val="22"/>
        </w:rPr>
        <w:t>fo</w:t>
      </w:r>
      <w:r w:rsidR="004047E8" w:rsidRPr="00562D0D">
        <w:rPr>
          <w:rFonts w:ascii="Times New Roman" w:hAnsi="Times New Roman" w:cs="Times New Roman"/>
          <w:sz w:val="22"/>
          <w:szCs w:val="22"/>
        </w:rPr>
        <w:t>r t</w:t>
      </w:r>
      <w:r w:rsidR="00FF1920" w:rsidRPr="00562D0D">
        <w:rPr>
          <w:rFonts w:ascii="Times New Roman" w:hAnsi="Times New Roman" w:cs="Times New Roman"/>
          <w:sz w:val="22"/>
          <w:szCs w:val="22"/>
        </w:rPr>
        <w:t>heir taxable year in which the exchange of stock occurs,</w:t>
      </w:r>
      <w:r w:rsidR="004047E8" w:rsidRPr="001B39D7">
        <w:rPr>
          <w:rFonts w:ascii="Times New Roman" w:hAnsi="Times New Roman" w:cs="Times New Roman"/>
          <w:sz w:val="22"/>
          <w:szCs w:val="22"/>
        </w:rPr>
        <w:t xml:space="preserve"> </w:t>
      </w:r>
      <w:r w:rsidR="00FF1920" w:rsidRPr="001B39D7">
        <w:rPr>
          <w:rFonts w:ascii="Times New Roman" w:hAnsi="Times New Roman" w:cs="Times New Roman"/>
          <w:sz w:val="22"/>
          <w:szCs w:val="22"/>
        </w:rPr>
        <w:t xml:space="preserve">the portion of </w:t>
      </w:r>
      <w:r w:rsidR="004047E8" w:rsidRPr="00964180">
        <w:rPr>
          <w:rFonts w:ascii="Times New Roman" w:hAnsi="Times New Roman" w:cs="Times New Roman"/>
          <w:sz w:val="22"/>
          <w:szCs w:val="22"/>
        </w:rPr>
        <w:t>the E&amp;P,</w:t>
      </w:r>
      <w:r w:rsidR="00FF1920" w:rsidRPr="001B39D7">
        <w:rPr>
          <w:rFonts w:ascii="Times New Roman" w:hAnsi="Times New Roman" w:cs="Times New Roman"/>
          <w:sz w:val="22"/>
          <w:szCs w:val="22"/>
        </w:rPr>
        <w:t xml:space="preserve"> if any, of the acquired foreign corporation</w:t>
      </w:r>
      <w:r w:rsidR="004047E8" w:rsidRPr="00964180">
        <w:rPr>
          <w:rFonts w:ascii="Times New Roman" w:hAnsi="Times New Roman" w:cs="Times New Roman"/>
          <w:sz w:val="22"/>
          <w:szCs w:val="22"/>
        </w:rPr>
        <w:t xml:space="preserve"> </w:t>
      </w:r>
      <w:r w:rsidR="00FF1920" w:rsidRPr="001B39D7">
        <w:rPr>
          <w:rFonts w:ascii="Times New Roman" w:hAnsi="Times New Roman" w:cs="Times New Roman"/>
          <w:sz w:val="22"/>
          <w:szCs w:val="22"/>
        </w:rPr>
        <w:t xml:space="preserve">properly attributable under </w:t>
      </w:r>
      <w:r w:rsidR="00BB7B67">
        <w:rPr>
          <w:rFonts w:ascii="Times New Roman" w:hAnsi="Times New Roman" w:cs="Times New Roman"/>
          <w:sz w:val="22"/>
          <w:szCs w:val="22"/>
        </w:rPr>
        <w:t xml:space="preserve">Code </w:t>
      </w:r>
      <w:r w:rsidR="004047E8" w:rsidRPr="00964180">
        <w:rPr>
          <w:rFonts w:ascii="Times New Roman" w:hAnsi="Times New Roman" w:cs="Times New Roman"/>
          <w:sz w:val="22"/>
          <w:szCs w:val="22"/>
        </w:rPr>
        <w:t>Sec. 1248</w:t>
      </w:r>
      <w:r w:rsidR="00FF1920" w:rsidRPr="001B39D7">
        <w:rPr>
          <w:rFonts w:ascii="Times New Roman" w:hAnsi="Times New Roman" w:cs="Times New Roman"/>
          <w:sz w:val="22"/>
          <w:szCs w:val="22"/>
        </w:rPr>
        <w:t xml:space="preserve"> to such shareholders' stock in</w:t>
      </w:r>
      <w:r w:rsidR="004047E8" w:rsidRPr="00964180">
        <w:rPr>
          <w:rFonts w:ascii="Times New Roman" w:hAnsi="Times New Roman" w:cs="Times New Roman"/>
          <w:sz w:val="22"/>
          <w:szCs w:val="22"/>
        </w:rPr>
        <w:t xml:space="preserve"> </w:t>
      </w:r>
      <w:r w:rsidR="00FF1920" w:rsidRPr="001B39D7">
        <w:rPr>
          <w:rFonts w:ascii="Times New Roman" w:hAnsi="Times New Roman" w:cs="Times New Roman"/>
          <w:sz w:val="22"/>
          <w:szCs w:val="22"/>
        </w:rPr>
        <w:t>such acquired foreign corporation which would</w:t>
      </w:r>
      <w:r w:rsidR="00964180" w:rsidRPr="00964180">
        <w:rPr>
          <w:rFonts w:ascii="Times New Roman" w:hAnsi="Times New Roman" w:cs="Times New Roman"/>
          <w:sz w:val="22"/>
          <w:szCs w:val="22"/>
        </w:rPr>
        <w:t xml:space="preserve"> have been includible in their income under Code Sec. 1248 if at the time of such acquisition the stock of such acquired foreign corporation was exchanged in a taxable exchange.</w:t>
      </w:r>
      <w:bookmarkStart w:id="5" w:name="OLE_LINK28"/>
      <w:r w:rsidR="00964180" w:rsidRPr="00964180">
        <w:rPr>
          <w:rStyle w:val="FootnoteReference"/>
          <w:rFonts w:ascii="Times New Roman" w:hAnsi="Times New Roman" w:cs="Times New Roman"/>
          <w:sz w:val="22"/>
          <w:szCs w:val="22"/>
        </w:rPr>
        <w:footnoteReference w:id="43"/>
      </w:r>
      <w:bookmarkEnd w:id="5"/>
    </w:p>
    <w:p w14:paraId="354A70CA" w14:textId="7FC18957" w:rsidR="001F0A7B" w:rsidRDefault="00586BAE" w:rsidP="0096648D">
      <w:pPr>
        <w:widowControl w:val="0"/>
        <w:spacing w:after="240" w:line="240" w:lineRule="auto"/>
        <w:rPr>
          <w:rFonts w:ascii="Times New Roman" w:hAnsi="Times New Roman" w:cs="Times New Roman"/>
        </w:rPr>
      </w:pPr>
      <w:r>
        <w:rPr>
          <w:rFonts w:ascii="Times New Roman" w:hAnsi="Times New Roman" w:cs="Times New Roman"/>
        </w:rPr>
        <w:t xml:space="preserve">In </w:t>
      </w:r>
      <w:r w:rsidR="007D05EC">
        <w:rPr>
          <w:rFonts w:ascii="Times New Roman" w:hAnsi="Times New Roman" w:cs="Times New Roman"/>
        </w:rPr>
        <w:t>the context of</w:t>
      </w:r>
      <w:r w:rsidR="00DC3647">
        <w:rPr>
          <w:rFonts w:ascii="Times New Roman" w:hAnsi="Times New Roman" w:cs="Times New Roman"/>
        </w:rPr>
        <w:t xml:space="preserve"> a</w:t>
      </w:r>
      <w:r w:rsidR="007D05EC">
        <w:rPr>
          <w:rFonts w:ascii="Times New Roman" w:hAnsi="Times New Roman" w:cs="Times New Roman"/>
        </w:rPr>
        <w:t xml:space="preserve"> </w:t>
      </w:r>
      <w:r w:rsidR="00966F5B">
        <w:rPr>
          <w:rFonts w:ascii="Times New Roman" w:hAnsi="Times New Roman" w:cs="Times New Roman"/>
        </w:rPr>
        <w:t xml:space="preserve">foreign-to-foreign </w:t>
      </w:r>
      <w:r w:rsidR="007D05EC">
        <w:rPr>
          <w:rFonts w:ascii="Times New Roman" w:hAnsi="Times New Roman" w:cs="Times New Roman"/>
        </w:rPr>
        <w:t>reorganization</w:t>
      </w:r>
      <w:r w:rsidR="00966F5B">
        <w:rPr>
          <w:rFonts w:ascii="Times New Roman" w:hAnsi="Times New Roman" w:cs="Times New Roman"/>
        </w:rPr>
        <w:t>,</w:t>
      </w:r>
      <w:r>
        <w:rPr>
          <w:rFonts w:ascii="Times New Roman" w:hAnsi="Times New Roman" w:cs="Times New Roman"/>
        </w:rPr>
        <w:t xml:space="preserve"> the amount of the dividend required under the </w:t>
      </w:r>
      <w:r w:rsidR="009F2200">
        <w:rPr>
          <w:rFonts w:ascii="Times New Roman" w:hAnsi="Times New Roman" w:cs="Times New Roman"/>
        </w:rPr>
        <w:t>guidelines</w:t>
      </w:r>
      <w:r>
        <w:rPr>
          <w:rFonts w:ascii="Times New Roman" w:hAnsi="Times New Roman" w:cs="Times New Roman"/>
        </w:rPr>
        <w:t xml:space="preserve"> is determined by reference to the amount </w:t>
      </w:r>
      <w:r w:rsidR="00B77ED2">
        <w:rPr>
          <w:rFonts w:ascii="Times New Roman" w:hAnsi="Times New Roman" w:cs="Times New Roman"/>
        </w:rPr>
        <w:t>of the dividend that would be recognized under Code Sec. 1248</w:t>
      </w:r>
      <w:r w:rsidR="00C41646">
        <w:rPr>
          <w:rFonts w:ascii="Times New Roman" w:hAnsi="Times New Roman" w:cs="Times New Roman"/>
        </w:rPr>
        <w:t xml:space="preserve"> if the stock were sold or exchanged</w:t>
      </w:r>
      <w:r w:rsidR="00B77ED2">
        <w:rPr>
          <w:rFonts w:ascii="Times New Roman" w:hAnsi="Times New Roman" w:cs="Times New Roman"/>
        </w:rPr>
        <w:t>, which corresponds to the</w:t>
      </w:r>
      <w:r w:rsidR="00966F5B">
        <w:rPr>
          <w:rFonts w:ascii="Times New Roman" w:hAnsi="Times New Roman" w:cs="Times New Roman"/>
        </w:rPr>
        <w:t xml:space="preserve"> term</w:t>
      </w:r>
      <w:r w:rsidR="00B77ED2">
        <w:rPr>
          <w:rFonts w:ascii="Times New Roman" w:hAnsi="Times New Roman" w:cs="Times New Roman"/>
        </w:rPr>
        <w:t xml:space="preserve"> “1248 amount” in current B4. </w:t>
      </w:r>
      <w:r w:rsidR="006421B3">
        <w:rPr>
          <w:rFonts w:ascii="Times New Roman" w:hAnsi="Times New Roman" w:cs="Times New Roman"/>
        </w:rPr>
        <w:t xml:space="preserve">In contrast, in respect to a domestic parent corporation in an inbound liquidation and a 20-percent domestic corporate shareholder in an inbound reorganization, the amount of the dividend is determined by reference to </w:t>
      </w:r>
      <w:r w:rsidR="00B502C4">
        <w:rPr>
          <w:rFonts w:ascii="Times New Roman" w:hAnsi="Times New Roman" w:cs="Times New Roman"/>
        </w:rPr>
        <w:t xml:space="preserve">1248 E&amp;P attributable to the stock for </w:t>
      </w:r>
      <w:r w:rsidR="00B502C4" w:rsidRPr="00CC0509">
        <w:rPr>
          <w:rFonts w:ascii="Times New Roman" w:hAnsi="Times New Roman" w:cs="Times New Roman"/>
          <w:i/>
          <w:iCs/>
        </w:rPr>
        <w:t>all</w:t>
      </w:r>
      <w:r w:rsidR="00B502C4">
        <w:rPr>
          <w:rFonts w:ascii="Times New Roman" w:hAnsi="Times New Roman" w:cs="Times New Roman"/>
        </w:rPr>
        <w:t xml:space="preserve"> taxable years,</w:t>
      </w:r>
      <w:r w:rsidR="00963F3D" w:rsidRPr="00964180">
        <w:rPr>
          <w:rStyle w:val="FootnoteReference"/>
          <w:rFonts w:ascii="Times New Roman" w:hAnsi="Times New Roman" w:cs="Times New Roman"/>
        </w:rPr>
        <w:footnoteReference w:id="44"/>
      </w:r>
      <w:r w:rsidR="00963F3D">
        <w:rPr>
          <w:rFonts w:ascii="Times New Roman" w:hAnsi="Times New Roman" w:cs="Times New Roman"/>
        </w:rPr>
        <w:t xml:space="preserve"> </w:t>
      </w:r>
      <w:r w:rsidR="004F21C3">
        <w:rPr>
          <w:rFonts w:ascii="Times New Roman" w:hAnsi="Times New Roman" w:cs="Times New Roman"/>
        </w:rPr>
        <w:t xml:space="preserve">and without regard to </w:t>
      </w:r>
      <w:r w:rsidR="00FE43F5">
        <w:rPr>
          <w:rFonts w:ascii="Times New Roman" w:hAnsi="Times New Roman" w:cs="Times New Roman"/>
        </w:rPr>
        <w:t xml:space="preserve">E&amp;P of foreign subsidiaries under Code Sec. 1248(c)(2), </w:t>
      </w:r>
      <w:r w:rsidR="00C41646">
        <w:rPr>
          <w:rFonts w:ascii="Times New Roman" w:hAnsi="Times New Roman" w:cs="Times New Roman"/>
        </w:rPr>
        <w:t>corresponding</w:t>
      </w:r>
      <w:r w:rsidR="00B502C4">
        <w:rPr>
          <w:rFonts w:ascii="Times New Roman" w:hAnsi="Times New Roman" w:cs="Times New Roman"/>
        </w:rPr>
        <w:t xml:space="preserve"> </w:t>
      </w:r>
      <w:r w:rsidR="003E7000">
        <w:rPr>
          <w:rFonts w:ascii="Times New Roman" w:hAnsi="Times New Roman" w:cs="Times New Roman"/>
        </w:rPr>
        <w:t xml:space="preserve">to the “all E&amp;P amount” in </w:t>
      </w:r>
      <w:r w:rsidR="00BD1BB5">
        <w:rPr>
          <w:rFonts w:ascii="Times New Roman" w:hAnsi="Times New Roman" w:cs="Times New Roman"/>
        </w:rPr>
        <w:t xml:space="preserve">the temporary </w:t>
      </w:r>
      <w:r w:rsidR="00BD1BB5">
        <w:rPr>
          <w:rFonts w:ascii="Times New Roman" w:hAnsi="Times New Roman" w:cs="Times New Roman"/>
        </w:rPr>
        <w:lastRenderedPageBreak/>
        <w:t xml:space="preserve">regulations and </w:t>
      </w:r>
      <w:r w:rsidR="003E7000">
        <w:rPr>
          <w:rFonts w:ascii="Times New Roman" w:hAnsi="Times New Roman" w:cs="Times New Roman"/>
        </w:rPr>
        <w:t>B3</w:t>
      </w:r>
      <w:r w:rsidR="00CB5744">
        <w:rPr>
          <w:rFonts w:ascii="Times New Roman" w:hAnsi="Times New Roman" w:cs="Times New Roman"/>
        </w:rPr>
        <w:t>, discussed below</w:t>
      </w:r>
      <w:r w:rsidR="00146E5B">
        <w:rPr>
          <w:rFonts w:ascii="Times New Roman" w:hAnsi="Times New Roman" w:cs="Times New Roman"/>
        </w:rPr>
        <w:t>.</w:t>
      </w:r>
      <w:r w:rsidR="00146E5B" w:rsidRPr="00964180">
        <w:rPr>
          <w:rStyle w:val="FootnoteReference"/>
          <w:rFonts w:ascii="Times New Roman" w:hAnsi="Times New Roman" w:cs="Times New Roman"/>
        </w:rPr>
        <w:footnoteReference w:id="45"/>
      </w:r>
      <w:r w:rsidR="00C41646">
        <w:rPr>
          <w:rFonts w:ascii="Times New Roman" w:hAnsi="Times New Roman" w:cs="Times New Roman"/>
        </w:rPr>
        <w:t xml:space="preserve"> </w:t>
      </w:r>
    </w:p>
    <w:p w14:paraId="500BE2A4" w14:textId="58FA7587" w:rsidR="00B37603" w:rsidRDefault="0084054D" w:rsidP="0096648D">
      <w:pPr>
        <w:widowControl w:val="0"/>
        <w:spacing w:after="240" w:line="240" w:lineRule="auto"/>
        <w:rPr>
          <w:rFonts w:ascii="Times New Roman" w:hAnsi="Times New Roman" w:cs="Times New Roman"/>
        </w:rPr>
      </w:pPr>
      <w:r>
        <w:rPr>
          <w:rFonts w:ascii="Times New Roman" w:hAnsi="Times New Roman" w:cs="Times New Roman"/>
        </w:rPr>
        <w:t xml:space="preserve">For a 20-percent domestic corporate shareholder to have an inclusion under the </w:t>
      </w:r>
      <w:r w:rsidR="009F2200">
        <w:rPr>
          <w:rFonts w:ascii="Times New Roman" w:hAnsi="Times New Roman" w:cs="Times New Roman"/>
        </w:rPr>
        <w:t>guidelines</w:t>
      </w:r>
      <w:r>
        <w:rPr>
          <w:rFonts w:ascii="Times New Roman" w:hAnsi="Times New Roman" w:cs="Times New Roman"/>
        </w:rPr>
        <w:t>, it does not appear that the</w:t>
      </w:r>
      <w:r w:rsidR="001F0A7B">
        <w:rPr>
          <w:rFonts w:ascii="Times New Roman" w:hAnsi="Times New Roman" w:cs="Times New Roman"/>
        </w:rPr>
        <w:t xml:space="preserve"> acquired foreign corporation </w:t>
      </w:r>
      <w:r w:rsidR="00DC3647">
        <w:rPr>
          <w:rFonts w:ascii="Times New Roman" w:hAnsi="Times New Roman" w:cs="Times New Roman"/>
        </w:rPr>
        <w:t>needs to be</w:t>
      </w:r>
      <w:r w:rsidR="001F0A7B">
        <w:rPr>
          <w:rFonts w:ascii="Times New Roman" w:hAnsi="Times New Roman" w:cs="Times New Roman"/>
        </w:rPr>
        <w:t xml:space="preserve"> a CFC. </w:t>
      </w:r>
      <w:r w:rsidR="00080B2A">
        <w:rPr>
          <w:rFonts w:ascii="Times New Roman" w:hAnsi="Times New Roman" w:cs="Times New Roman"/>
        </w:rPr>
        <w:t xml:space="preserve">In an inbound reorganization, </w:t>
      </w:r>
      <w:r w:rsidR="00966F5B">
        <w:rPr>
          <w:rFonts w:ascii="Times New Roman" w:hAnsi="Times New Roman" w:cs="Times New Roman"/>
        </w:rPr>
        <w:t xml:space="preserve">for shareholders other than </w:t>
      </w:r>
      <w:r w:rsidR="00C41646">
        <w:rPr>
          <w:rFonts w:ascii="Times New Roman" w:hAnsi="Times New Roman" w:cs="Times New Roman"/>
        </w:rPr>
        <w:t xml:space="preserve">a </w:t>
      </w:r>
      <w:r w:rsidR="00966F5B">
        <w:rPr>
          <w:rFonts w:ascii="Times New Roman" w:hAnsi="Times New Roman" w:cs="Times New Roman"/>
        </w:rPr>
        <w:t>20-percent domestic corporate shareholder,</w:t>
      </w:r>
      <w:r w:rsidR="00C41646">
        <w:rPr>
          <w:rFonts w:ascii="Times New Roman" w:hAnsi="Times New Roman" w:cs="Times New Roman"/>
        </w:rPr>
        <w:t xml:space="preserve"> </w:t>
      </w:r>
      <w:r w:rsidR="00AB215F">
        <w:rPr>
          <w:rFonts w:ascii="Times New Roman" w:hAnsi="Times New Roman" w:cs="Times New Roman"/>
        </w:rPr>
        <w:t xml:space="preserve">the amount of </w:t>
      </w:r>
      <w:r w:rsidR="00C41646">
        <w:rPr>
          <w:rFonts w:ascii="Times New Roman" w:hAnsi="Times New Roman" w:cs="Times New Roman"/>
        </w:rPr>
        <w:t xml:space="preserve">the </w:t>
      </w:r>
      <w:r w:rsidR="00AB215F">
        <w:rPr>
          <w:rFonts w:ascii="Times New Roman" w:hAnsi="Times New Roman" w:cs="Times New Roman"/>
        </w:rPr>
        <w:t>dividend</w:t>
      </w:r>
      <w:r w:rsidR="004F5AE5">
        <w:rPr>
          <w:rFonts w:ascii="Times New Roman" w:hAnsi="Times New Roman" w:cs="Times New Roman"/>
        </w:rPr>
        <w:t xml:space="preserve"> was</w:t>
      </w:r>
      <w:r w:rsidR="005A0EE3">
        <w:rPr>
          <w:rFonts w:ascii="Times New Roman" w:hAnsi="Times New Roman" w:cs="Times New Roman"/>
        </w:rPr>
        <w:t xml:space="preserve"> </w:t>
      </w:r>
      <w:r w:rsidR="001F0A7B">
        <w:rPr>
          <w:rFonts w:ascii="Times New Roman" w:hAnsi="Times New Roman" w:cs="Times New Roman"/>
        </w:rPr>
        <w:t xml:space="preserve">equal to the amount of the </w:t>
      </w:r>
      <w:r w:rsidR="005A0EE3">
        <w:rPr>
          <w:rFonts w:ascii="Times New Roman" w:hAnsi="Times New Roman" w:cs="Times New Roman"/>
        </w:rPr>
        <w:t xml:space="preserve">dividend </w:t>
      </w:r>
      <w:r w:rsidR="00C41646">
        <w:rPr>
          <w:rFonts w:ascii="Times New Roman" w:hAnsi="Times New Roman" w:cs="Times New Roman"/>
        </w:rPr>
        <w:t>that such</w:t>
      </w:r>
      <w:r w:rsidR="00AB215F">
        <w:rPr>
          <w:rFonts w:ascii="Times New Roman" w:hAnsi="Times New Roman" w:cs="Times New Roman"/>
        </w:rPr>
        <w:t xml:space="preserve"> shareholder would </w:t>
      </w:r>
      <w:r w:rsidR="004F5AE5">
        <w:rPr>
          <w:rFonts w:ascii="Times New Roman" w:hAnsi="Times New Roman" w:cs="Times New Roman"/>
        </w:rPr>
        <w:t>have r</w:t>
      </w:r>
      <w:r w:rsidR="00AB215F">
        <w:rPr>
          <w:rFonts w:ascii="Times New Roman" w:hAnsi="Times New Roman" w:cs="Times New Roman"/>
        </w:rPr>
        <w:t>ecognize</w:t>
      </w:r>
      <w:r w:rsidR="004F5AE5">
        <w:rPr>
          <w:rFonts w:ascii="Times New Roman" w:hAnsi="Times New Roman" w:cs="Times New Roman"/>
        </w:rPr>
        <w:t>d</w:t>
      </w:r>
      <w:r w:rsidR="00AB215F">
        <w:rPr>
          <w:rFonts w:ascii="Times New Roman" w:hAnsi="Times New Roman" w:cs="Times New Roman"/>
        </w:rPr>
        <w:t xml:space="preserve"> in a sale or exchange under </w:t>
      </w:r>
      <w:r w:rsidR="004F21C3">
        <w:rPr>
          <w:rFonts w:ascii="Times New Roman" w:hAnsi="Times New Roman" w:cs="Times New Roman"/>
        </w:rPr>
        <w:t>Code Sec. 1248</w:t>
      </w:r>
      <w:r w:rsidR="00121F1A">
        <w:rPr>
          <w:rFonts w:ascii="Times New Roman" w:hAnsi="Times New Roman" w:cs="Times New Roman"/>
        </w:rPr>
        <w:t xml:space="preserve">, except without </w:t>
      </w:r>
      <w:r w:rsidR="00265432">
        <w:rPr>
          <w:rFonts w:ascii="Times New Roman" w:hAnsi="Times New Roman" w:cs="Times New Roman"/>
        </w:rPr>
        <w:t>regard to E&amp;P of foreign subsidiaries under Code Sec. 1248(c)(2).</w:t>
      </w:r>
      <w:r w:rsidR="00121F1A" w:rsidRPr="00964180">
        <w:rPr>
          <w:rStyle w:val="FootnoteReference"/>
          <w:rFonts w:ascii="Times New Roman" w:hAnsi="Times New Roman" w:cs="Times New Roman"/>
        </w:rPr>
        <w:footnoteReference w:id="46"/>
      </w:r>
      <w:r w:rsidR="00121F1A">
        <w:rPr>
          <w:rFonts w:ascii="Times New Roman" w:hAnsi="Times New Roman" w:cs="Times New Roman"/>
        </w:rPr>
        <w:t xml:space="preserve"> </w:t>
      </w:r>
      <w:r w:rsidR="004F5AE5">
        <w:rPr>
          <w:rFonts w:ascii="Times New Roman" w:hAnsi="Times New Roman" w:cs="Times New Roman"/>
        </w:rPr>
        <w:t>Therefore, it appears</w:t>
      </w:r>
      <w:r w:rsidR="00C64455">
        <w:rPr>
          <w:rFonts w:ascii="Times New Roman" w:hAnsi="Times New Roman" w:cs="Times New Roman"/>
        </w:rPr>
        <w:t xml:space="preserve"> that</w:t>
      </w:r>
      <w:r w:rsidR="002E6778">
        <w:rPr>
          <w:rFonts w:ascii="Times New Roman" w:hAnsi="Times New Roman" w:cs="Times New Roman"/>
        </w:rPr>
        <w:t>,</w:t>
      </w:r>
      <w:r w:rsidR="00C64455">
        <w:rPr>
          <w:rFonts w:ascii="Times New Roman" w:hAnsi="Times New Roman" w:cs="Times New Roman"/>
        </w:rPr>
        <w:t xml:space="preserve"> for </w:t>
      </w:r>
      <w:r w:rsidR="004F5AE5">
        <w:rPr>
          <w:rFonts w:ascii="Times New Roman" w:hAnsi="Times New Roman" w:cs="Times New Roman"/>
        </w:rPr>
        <w:t>a shareholder other than a 20-percent domestic corporate shareholder</w:t>
      </w:r>
      <w:r w:rsidR="00C64455">
        <w:rPr>
          <w:rFonts w:ascii="Times New Roman" w:hAnsi="Times New Roman" w:cs="Times New Roman"/>
        </w:rPr>
        <w:t xml:space="preserve"> </w:t>
      </w:r>
      <w:r w:rsidR="002E6778">
        <w:rPr>
          <w:rFonts w:ascii="Times New Roman" w:hAnsi="Times New Roman" w:cs="Times New Roman"/>
        </w:rPr>
        <w:t xml:space="preserve">or domestic parent corporation </w:t>
      </w:r>
      <w:r w:rsidR="00C64455">
        <w:rPr>
          <w:rFonts w:ascii="Times New Roman" w:hAnsi="Times New Roman" w:cs="Times New Roman"/>
        </w:rPr>
        <w:t>to have an inclusion</w:t>
      </w:r>
      <w:r w:rsidR="004F5AE5">
        <w:rPr>
          <w:rFonts w:ascii="Times New Roman" w:hAnsi="Times New Roman" w:cs="Times New Roman"/>
        </w:rPr>
        <w:t xml:space="preserve"> i</w:t>
      </w:r>
      <w:r w:rsidR="002E6778">
        <w:rPr>
          <w:rFonts w:ascii="Times New Roman" w:hAnsi="Times New Roman" w:cs="Times New Roman"/>
        </w:rPr>
        <w:t>n an inbound nonrecognition transaction</w:t>
      </w:r>
      <w:r w:rsidR="00C64455">
        <w:rPr>
          <w:rFonts w:ascii="Times New Roman" w:hAnsi="Times New Roman" w:cs="Times New Roman"/>
        </w:rPr>
        <w:t xml:space="preserve">, </w:t>
      </w:r>
      <w:r w:rsidR="002E6778">
        <w:rPr>
          <w:rFonts w:ascii="Times New Roman" w:hAnsi="Times New Roman" w:cs="Times New Roman"/>
        </w:rPr>
        <w:t>the shareholder</w:t>
      </w:r>
      <w:r w:rsidR="00C64455">
        <w:rPr>
          <w:rFonts w:ascii="Times New Roman" w:hAnsi="Times New Roman" w:cs="Times New Roman"/>
        </w:rPr>
        <w:t xml:space="preserve"> must be a 1248 shareholder of a foreign corporation that is, or was, a CFC.</w:t>
      </w:r>
      <w:r w:rsidR="002E6778">
        <w:rPr>
          <w:rFonts w:ascii="Times New Roman" w:hAnsi="Times New Roman" w:cs="Times New Roman"/>
        </w:rPr>
        <w:t xml:space="preserve"> </w:t>
      </w:r>
    </w:p>
    <w:p w14:paraId="23F2F038" w14:textId="75C5D447" w:rsidR="001F0A7B" w:rsidRPr="00D7575D" w:rsidRDefault="002E6778" w:rsidP="0096648D">
      <w:pPr>
        <w:widowControl w:val="0"/>
        <w:spacing w:after="240" w:line="240" w:lineRule="auto"/>
        <w:rPr>
          <w:rFonts w:ascii="Times New Roman" w:hAnsi="Times New Roman" w:cs="Times New Roman"/>
        </w:rPr>
      </w:pPr>
      <w:r>
        <w:rPr>
          <w:rFonts w:ascii="Times New Roman" w:hAnsi="Times New Roman" w:cs="Times New Roman"/>
        </w:rPr>
        <w:t xml:space="preserve">In no case did the </w:t>
      </w:r>
      <w:r w:rsidR="009F2200">
        <w:rPr>
          <w:rFonts w:ascii="Times New Roman" w:hAnsi="Times New Roman" w:cs="Times New Roman"/>
        </w:rPr>
        <w:t>guidelines</w:t>
      </w:r>
      <w:r>
        <w:rPr>
          <w:rFonts w:ascii="Times New Roman" w:hAnsi="Times New Roman" w:cs="Times New Roman"/>
        </w:rPr>
        <w:t xml:space="preserve"> impose a toll charge on a </w:t>
      </w:r>
      <w:r w:rsidR="00121F1A">
        <w:rPr>
          <w:rFonts w:ascii="Times New Roman" w:hAnsi="Times New Roman" w:cs="Times New Roman"/>
        </w:rPr>
        <w:t xml:space="preserve">U.S. person </w:t>
      </w:r>
      <w:r>
        <w:rPr>
          <w:rFonts w:ascii="Times New Roman" w:hAnsi="Times New Roman" w:cs="Times New Roman"/>
        </w:rPr>
        <w:t xml:space="preserve">that was </w:t>
      </w:r>
      <w:r w:rsidR="002C0C57">
        <w:rPr>
          <w:rFonts w:ascii="Times New Roman" w:hAnsi="Times New Roman" w:cs="Times New Roman"/>
        </w:rPr>
        <w:t xml:space="preserve">neither </w:t>
      </w:r>
      <w:r w:rsidR="00121F1A">
        <w:rPr>
          <w:rFonts w:ascii="Times New Roman" w:hAnsi="Times New Roman" w:cs="Times New Roman"/>
        </w:rPr>
        <w:t xml:space="preserve">a U.S. shareholder </w:t>
      </w:r>
      <w:r w:rsidR="006705C8">
        <w:rPr>
          <w:rFonts w:ascii="Times New Roman" w:hAnsi="Times New Roman" w:cs="Times New Roman"/>
        </w:rPr>
        <w:t>or a 1248 sharehol</w:t>
      </w:r>
      <w:r w:rsidR="0037672F">
        <w:rPr>
          <w:rFonts w:ascii="Times New Roman" w:hAnsi="Times New Roman" w:cs="Times New Roman"/>
        </w:rPr>
        <w:t>d</w:t>
      </w:r>
      <w:r w:rsidR="006705C8">
        <w:rPr>
          <w:rFonts w:ascii="Times New Roman" w:hAnsi="Times New Roman" w:cs="Times New Roman"/>
        </w:rPr>
        <w:t xml:space="preserve">er </w:t>
      </w:r>
      <w:r w:rsidR="00121F1A">
        <w:rPr>
          <w:rFonts w:ascii="Times New Roman" w:hAnsi="Times New Roman" w:cs="Times New Roman"/>
        </w:rPr>
        <w:t>(a “</w:t>
      </w:r>
      <w:r w:rsidR="00121F1A">
        <w:rPr>
          <w:rFonts w:ascii="Times New Roman" w:hAnsi="Times New Roman" w:cs="Times New Roman"/>
          <w:b/>
          <w:bCs/>
        </w:rPr>
        <w:t>small shareholder</w:t>
      </w:r>
      <w:r w:rsidR="00121F1A">
        <w:rPr>
          <w:rFonts w:ascii="Times New Roman" w:hAnsi="Times New Roman" w:cs="Times New Roman"/>
        </w:rPr>
        <w:t>”).</w:t>
      </w:r>
      <w:r w:rsidR="00EE093D" w:rsidRPr="00964180">
        <w:rPr>
          <w:rStyle w:val="FootnoteReference"/>
          <w:rFonts w:ascii="Times New Roman" w:hAnsi="Times New Roman" w:cs="Times New Roman"/>
        </w:rPr>
        <w:footnoteReference w:id="47"/>
      </w:r>
    </w:p>
    <w:p w14:paraId="5A3F7164" w14:textId="051D57B0" w:rsidR="004E632B" w:rsidRDefault="004E632B" w:rsidP="0096648D">
      <w:pPr>
        <w:pStyle w:val="Heading3"/>
        <w:keepNext w:val="0"/>
        <w:keepLines w:val="0"/>
        <w:widowControl w:val="0"/>
      </w:pPr>
      <w:r>
        <w:t xml:space="preserve">Code Sec. 367(b) </w:t>
      </w:r>
    </w:p>
    <w:p w14:paraId="5E60FA57" w14:textId="07F74C14" w:rsidR="00881517" w:rsidRDefault="00BA2137" w:rsidP="0096648D">
      <w:pPr>
        <w:widowControl w:val="0"/>
        <w:spacing w:after="240" w:line="240" w:lineRule="auto"/>
        <w:rPr>
          <w:rFonts w:ascii="Times New Roman" w:hAnsi="Times New Roman" w:cs="Times New Roman"/>
        </w:rPr>
      </w:pPr>
      <w:r>
        <w:rPr>
          <w:rFonts w:ascii="Times New Roman" w:hAnsi="Times New Roman" w:cs="Times New Roman"/>
        </w:rPr>
        <w:t xml:space="preserve">Congress amended Code Sec. </w:t>
      </w:r>
      <w:r w:rsidR="00394E2D">
        <w:rPr>
          <w:rFonts w:ascii="Times New Roman" w:hAnsi="Times New Roman" w:cs="Times New Roman"/>
        </w:rPr>
        <w:t xml:space="preserve">367 </w:t>
      </w:r>
      <w:r w:rsidR="003B6F47">
        <w:rPr>
          <w:rFonts w:ascii="Times New Roman" w:hAnsi="Times New Roman" w:cs="Times New Roman"/>
        </w:rPr>
        <w:t>in the Tax Reform Act of 1976 to</w:t>
      </w:r>
      <w:r w:rsidR="0073008C">
        <w:rPr>
          <w:rFonts w:ascii="Times New Roman" w:hAnsi="Times New Roman" w:cs="Times New Roman"/>
        </w:rPr>
        <w:t xml:space="preserve"> eliminate </w:t>
      </w:r>
      <w:r w:rsidR="00437C52">
        <w:rPr>
          <w:rFonts w:ascii="Times New Roman" w:hAnsi="Times New Roman" w:cs="Times New Roman"/>
        </w:rPr>
        <w:t>the advance ruling requirement</w:t>
      </w:r>
      <w:r w:rsidR="001C4497">
        <w:rPr>
          <w:rFonts w:ascii="Times New Roman" w:hAnsi="Times New Roman" w:cs="Times New Roman"/>
        </w:rPr>
        <w:t xml:space="preserve"> </w:t>
      </w:r>
      <w:r w:rsidR="00E87D6B">
        <w:rPr>
          <w:rFonts w:ascii="Times New Roman" w:hAnsi="Times New Roman" w:cs="Times New Roman"/>
        </w:rPr>
        <w:t xml:space="preserve">for </w:t>
      </w:r>
      <w:r w:rsidR="004B0978">
        <w:rPr>
          <w:rFonts w:ascii="Times New Roman" w:hAnsi="Times New Roman" w:cs="Times New Roman"/>
        </w:rPr>
        <w:t xml:space="preserve">inbound and foreign-to-foreign transactions </w:t>
      </w:r>
      <w:r w:rsidR="00FF7090">
        <w:rPr>
          <w:rFonts w:ascii="Times New Roman" w:hAnsi="Times New Roman" w:cs="Times New Roman"/>
        </w:rPr>
        <w:t xml:space="preserve">and to </w:t>
      </w:r>
      <w:r w:rsidR="002A7FD0">
        <w:rPr>
          <w:rFonts w:ascii="Times New Roman" w:hAnsi="Times New Roman" w:cs="Times New Roman"/>
        </w:rPr>
        <w:t xml:space="preserve">codify </w:t>
      </w:r>
      <w:r w:rsidR="004B0978">
        <w:rPr>
          <w:rFonts w:ascii="Times New Roman" w:hAnsi="Times New Roman" w:cs="Times New Roman"/>
        </w:rPr>
        <w:t xml:space="preserve">many </w:t>
      </w:r>
      <w:r w:rsidR="002A7FD0">
        <w:rPr>
          <w:rFonts w:ascii="Times New Roman" w:hAnsi="Times New Roman" w:cs="Times New Roman"/>
        </w:rPr>
        <w:t xml:space="preserve">of the principles </w:t>
      </w:r>
      <w:r w:rsidR="000A02D7">
        <w:rPr>
          <w:rFonts w:ascii="Times New Roman" w:hAnsi="Times New Roman" w:cs="Times New Roman"/>
        </w:rPr>
        <w:t xml:space="preserve">underlying </w:t>
      </w:r>
      <w:r w:rsidR="001C4497">
        <w:rPr>
          <w:rFonts w:ascii="Times New Roman" w:hAnsi="Times New Roman" w:cs="Times New Roman"/>
        </w:rPr>
        <w:t xml:space="preserve">the </w:t>
      </w:r>
      <w:r w:rsidR="009F2200">
        <w:rPr>
          <w:rFonts w:ascii="Times New Roman" w:hAnsi="Times New Roman" w:cs="Times New Roman"/>
        </w:rPr>
        <w:t>guidelines</w:t>
      </w:r>
      <w:r w:rsidR="00A46730">
        <w:rPr>
          <w:rFonts w:ascii="Times New Roman" w:hAnsi="Times New Roman" w:cs="Times New Roman"/>
        </w:rPr>
        <w:t>.</w:t>
      </w:r>
      <w:r w:rsidR="00271CE0">
        <w:rPr>
          <w:rFonts w:ascii="Times New Roman" w:hAnsi="Times New Roman" w:cs="Times New Roman"/>
        </w:rPr>
        <w:t xml:space="preserve"> In the House Report</w:t>
      </w:r>
      <w:r w:rsidR="0000171C">
        <w:rPr>
          <w:rFonts w:ascii="Times New Roman" w:hAnsi="Times New Roman" w:cs="Times New Roman"/>
        </w:rPr>
        <w:t xml:space="preserve"> accompanying </w:t>
      </w:r>
      <w:r w:rsidR="009F2200">
        <w:rPr>
          <w:rFonts w:ascii="Times New Roman" w:hAnsi="Times New Roman" w:cs="Times New Roman"/>
        </w:rPr>
        <w:t>the Tax Reform Act of 1976 (the “</w:t>
      </w:r>
      <w:r w:rsidR="009F2200" w:rsidRPr="00875D5A">
        <w:rPr>
          <w:rFonts w:ascii="Times New Roman" w:hAnsi="Times New Roman" w:cs="Times New Roman"/>
          <w:b/>
          <w:bCs/>
        </w:rPr>
        <w:t>1976 House Report</w:t>
      </w:r>
      <w:r w:rsidR="009F2200">
        <w:rPr>
          <w:rFonts w:ascii="Times New Roman" w:hAnsi="Times New Roman" w:cs="Times New Roman"/>
        </w:rPr>
        <w:t>”)</w:t>
      </w:r>
      <w:r w:rsidR="00271CE0">
        <w:rPr>
          <w:rFonts w:ascii="Times New Roman" w:hAnsi="Times New Roman" w:cs="Times New Roman"/>
        </w:rPr>
        <w:t xml:space="preserve">, Congress </w:t>
      </w:r>
      <w:r w:rsidR="001C4497">
        <w:rPr>
          <w:rFonts w:ascii="Times New Roman" w:hAnsi="Times New Roman" w:cs="Times New Roman"/>
        </w:rPr>
        <w:t xml:space="preserve">discussed how </w:t>
      </w:r>
      <w:r w:rsidR="00DC2CB6">
        <w:rPr>
          <w:rFonts w:ascii="Times New Roman" w:hAnsi="Times New Roman" w:cs="Times New Roman"/>
        </w:rPr>
        <w:t xml:space="preserve">the </w:t>
      </w:r>
      <w:r w:rsidR="006B0767">
        <w:rPr>
          <w:rFonts w:ascii="Times New Roman" w:hAnsi="Times New Roman" w:cs="Times New Roman"/>
        </w:rPr>
        <w:t xml:space="preserve">statutory standard of </w:t>
      </w:r>
      <w:r w:rsidR="000F1941">
        <w:rPr>
          <w:rFonts w:ascii="Times New Roman" w:hAnsi="Times New Roman" w:cs="Times New Roman"/>
        </w:rPr>
        <w:t xml:space="preserve">Code Sec. 367 had evolved </w:t>
      </w:r>
      <w:r w:rsidR="00D5027C">
        <w:rPr>
          <w:rFonts w:ascii="Times New Roman" w:hAnsi="Times New Roman" w:cs="Times New Roman"/>
        </w:rPr>
        <w:t xml:space="preserve">“through administrative </w:t>
      </w:r>
      <w:r w:rsidR="007E6D78">
        <w:rPr>
          <w:rFonts w:ascii="Times New Roman" w:hAnsi="Times New Roman" w:cs="Times New Roman"/>
        </w:rPr>
        <w:t>interpretation into a requirement generally that tax-free treatment be permitted</w:t>
      </w:r>
      <w:r w:rsidR="003518F8">
        <w:rPr>
          <w:rFonts w:ascii="Times New Roman" w:hAnsi="Times New Roman" w:cs="Times New Roman"/>
        </w:rPr>
        <w:t xml:space="preserve"> only if the U.S. tax on accumulated [E&amp;P]</w:t>
      </w:r>
      <w:r w:rsidR="00D53BC3">
        <w:rPr>
          <w:rFonts w:ascii="Times New Roman" w:hAnsi="Times New Roman" w:cs="Times New Roman"/>
        </w:rPr>
        <w:t>…</w:t>
      </w:r>
      <w:r w:rsidR="00014521">
        <w:rPr>
          <w:rFonts w:ascii="Times New Roman" w:hAnsi="Times New Roman" w:cs="Times New Roman"/>
        </w:rPr>
        <w:t>is paid or is preserved for future payment.”</w:t>
      </w:r>
      <w:r w:rsidR="00014521">
        <w:rPr>
          <w:rStyle w:val="FootnoteReference"/>
          <w:rFonts w:ascii="Times New Roman" w:hAnsi="Times New Roman" w:cs="Times New Roman"/>
        </w:rPr>
        <w:footnoteReference w:id="48"/>
      </w:r>
      <w:r w:rsidR="00E2180D">
        <w:rPr>
          <w:rFonts w:ascii="Times New Roman" w:hAnsi="Times New Roman" w:cs="Times New Roman"/>
        </w:rPr>
        <w:t xml:space="preserve"> </w:t>
      </w:r>
      <w:r w:rsidR="002C7133">
        <w:rPr>
          <w:rFonts w:ascii="Times New Roman" w:hAnsi="Times New Roman" w:cs="Times New Roman"/>
        </w:rPr>
        <w:t xml:space="preserve">While </w:t>
      </w:r>
      <w:r w:rsidR="002C7133" w:rsidRPr="002C7133">
        <w:rPr>
          <w:rFonts w:ascii="Times New Roman" w:hAnsi="Times New Roman" w:cs="Times New Roman"/>
        </w:rPr>
        <w:t xml:space="preserve">Congress “generally approve[d] the standard applied by the IRS” in the </w:t>
      </w:r>
      <w:r w:rsidR="009F2200">
        <w:rPr>
          <w:rFonts w:ascii="Times New Roman" w:hAnsi="Times New Roman" w:cs="Times New Roman"/>
        </w:rPr>
        <w:t>guidelines</w:t>
      </w:r>
      <w:r w:rsidR="002C7133">
        <w:rPr>
          <w:rFonts w:ascii="Times New Roman" w:hAnsi="Times New Roman" w:cs="Times New Roman"/>
        </w:rPr>
        <w:t xml:space="preserve">, the </w:t>
      </w:r>
      <w:r w:rsidR="00316442">
        <w:rPr>
          <w:rFonts w:ascii="Times New Roman" w:hAnsi="Times New Roman" w:cs="Times New Roman"/>
        </w:rPr>
        <w:t xml:space="preserve">1976 </w:t>
      </w:r>
      <w:r w:rsidR="002C7133">
        <w:rPr>
          <w:rFonts w:ascii="Times New Roman" w:hAnsi="Times New Roman" w:cs="Times New Roman"/>
        </w:rPr>
        <w:t xml:space="preserve">House </w:t>
      </w:r>
      <w:r w:rsidR="00316442">
        <w:rPr>
          <w:rFonts w:ascii="Times New Roman" w:hAnsi="Times New Roman" w:cs="Times New Roman"/>
        </w:rPr>
        <w:t>R</w:t>
      </w:r>
      <w:r w:rsidR="002C7133">
        <w:rPr>
          <w:rFonts w:ascii="Times New Roman" w:hAnsi="Times New Roman" w:cs="Times New Roman"/>
        </w:rPr>
        <w:t xml:space="preserve">eport identified </w:t>
      </w:r>
      <w:r w:rsidR="00DE2E88">
        <w:rPr>
          <w:rFonts w:ascii="Times New Roman" w:hAnsi="Times New Roman" w:cs="Times New Roman"/>
        </w:rPr>
        <w:t>several</w:t>
      </w:r>
      <w:r w:rsidR="00C412DD">
        <w:rPr>
          <w:rFonts w:ascii="Times New Roman" w:hAnsi="Times New Roman" w:cs="Times New Roman"/>
        </w:rPr>
        <w:t xml:space="preserve"> problems that had arisen with respect to the advance ruling requirement in prior Code Sec. 367</w:t>
      </w:r>
      <w:r w:rsidR="008F44BF">
        <w:rPr>
          <w:rFonts w:ascii="Times New Roman" w:hAnsi="Times New Roman" w:cs="Times New Roman"/>
        </w:rPr>
        <w:t xml:space="preserve">, </w:t>
      </w:r>
      <w:r w:rsidR="00DE2E88">
        <w:rPr>
          <w:rFonts w:ascii="Times New Roman" w:hAnsi="Times New Roman" w:cs="Times New Roman"/>
        </w:rPr>
        <w:t>including</w:t>
      </w:r>
      <w:r w:rsidR="008F44BF">
        <w:rPr>
          <w:rFonts w:ascii="Times New Roman" w:hAnsi="Times New Roman" w:cs="Times New Roman"/>
        </w:rPr>
        <w:t xml:space="preserve"> that the requirement could</w:t>
      </w:r>
      <w:r w:rsidR="00881517">
        <w:rPr>
          <w:rFonts w:ascii="Times New Roman" w:hAnsi="Times New Roman" w:cs="Times New Roman"/>
        </w:rPr>
        <w:t xml:space="preserve"> cause undue delay </w:t>
      </w:r>
      <w:r w:rsidR="008F44BF">
        <w:rPr>
          <w:rFonts w:ascii="Times New Roman" w:hAnsi="Times New Roman" w:cs="Times New Roman"/>
        </w:rPr>
        <w:t xml:space="preserve">for transactions, that transactions in scope of the </w:t>
      </w:r>
      <w:r w:rsidR="009F2200">
        <w:rPr>
          <w:rFonts w:ascii="Times New Roman" w:hAnsi="Times New Roman" w:cs="Times New Roman"/>
        </w:rPr>
        <w:t>guidelines</w:t>
      </w:r>
      <w:r w:rsidR="008F44BF">
        <w:rPr>
          <w:rFonts w:ascii="Times New Roman" w:hAnsi="Times New Roman" w:cs="Times New Roman"/>
        </w:rPr>
        <w:t xml:space="preserve"> could </w:t>
      </w:r>
      <w:r w:rsidR="00543A25">
        <w:rPr>
          <w:rFonts w:ascii="Times New Roman" w:hAnsi="Times New Roman" w:cs="Times New Roman"/>
        </w:rPr>
        <w:t>occur without the knowledge of</w:t>
      </w:r>
      <w:r w:rsidR="00311E7E">
        <w:rPr>
          <w:rFonts w:ascii="Times New Roman" w:hAnsi="Times New Roman" w:cs="Times New Roman"/>
        </w:rPr>
        <w:t xml:space="preserve"> U.S. shareholders of the foreign corporation</w:t>
      </w:r>
      <w:r w:rsidR="00C04425">
        <w:rPr>
          <w:rFonts w:ascii="Times New Roman" w:hAnsi="Times New Roman" w:cs="Times New Roman"/>
        </w:rPr>
        <w:t xml:space="preserve">, </w:t>
      </w:r>
      <w:r w:rsidR="00142D4C">
        <w:rPr>
          <w:rFonts w:ascii="Times New Roman" w:hAnsi="Times New Roman" w:cs="Times New Roman"/>
        </w:rPr>
        <w:t xml:space="preserve">that </w:t>
      </w:r>
      <w:r w:rsidR="00C04425">
        <w:rPr>
          <w:rFonts w:ascii="Times New Roman" w:hAnsi="Times New Roman" w:cs="Times New Roman"/>
        </w:rPr>
        <w:t>the toll charge</w:t>
      </w:r>
      <w:r w:rsidR="00023F91">
        <w:rPr>
          <w:rFonts w:ascii="Times New Roman" w:hAnsi="Times New Roman" w:cs="Times New Roman"/>
        </w:rPr>
        <w:t xml:space="preserve"> applied where there was no tax avoidance but </w:t>
      </w:r>
      <w:r w:rsidR="00943841">
        <w:rPr>
          <w:rFonts w:ascii="Times New Roman" w:hAnsi="Times New Roman" w:cs="Times New Roman"/>
        </w:rPr>
        <w:t xml:space="preserve">only </w:t>
      </w:r>
      <w:r w:rsidR="00023F91">
        <w:rPr>
          <w:rFonts w:ascii="Times New Roman" w:hAnsi="Times New Roman" w:cs="Times New Roman"/>
        </w:rPr>
        <w:t xml:space="preserve">the potential for future tax avoidance, and </w:t>
      </w:r>
      <w:r w:rsidR="00943841">
        <w:rPr>
          <w:rFonts w:ascii="Times New Roman" w:hAnsi="Times New Roman" w:cs="Times New Roman"/>
        </w:rPr>
        <w:t xml:space="preserve">that </w:t>
      </w:r>
      <w:r w:rsidR="00023F91">
        <w:rPr>
          <w:rFonts w:ascii="Times New Roman" w:hAnsi="Times New Roman" w:cs="Times New Roman"/>
        </w:rPr>
        <w:t xml:space="preserve">taxpayers could not litigate </w:t>
      </w:r>
      <w:r w:rsidR="00BB09AD">
        <w:rPr>
          <w:rFonts w:ascii="Times New Roman" w:hAnsi="Times New Roman" w:cs="Times New Roman"/>
        </w:rPr>
        <w:t>unfavorable rulings in court.</w:t>
      </w:r>
      <w:bookmarkStart w:id="6" w:name="_Hlk117109773"/>
      <w:r w:rsidR="00C26C71">
        <w:rPr>
          <w:rStyle w:val="FootnoteReference"/>
          <w:rFonts w:ascii="Times New Roman" w:hAnsi="Times New Roman" w:cs="Times New Roman"/>
        </w:rPr>
        <w:footnoteReference w:id="49"/>
      </w:r>
      <w:r w:rsidR="00BB09AD">
        <w:rPr>
          <w:rFonts w:ascii="Times New Roman" w:hAnsi="Times New Roman" w:cs="Times New Roman"/>
        </w:rPr>
        <w:t xml:space="preserve"> </w:t>
      </w:r>
      <w:bookmarkEnd w:id="6"/>
      <w:r w:rsidR="00E502DA">
        <w:rPr>
          <w:rFonts w:ascii="Times New Roman" w:hAnsi="Times New Roman" w:cs="Times New Roman"/>
        </w:rPr>
        <w:t>For these re</w:t>
      </w:r>
      <w:r w:rsidR="00F675F1">
        <w:rPr>
          <w:rFonts w:ascii="Times New Roman" w:hAnsi="Times New Roman" w:cs="Times New Roman"/>
        </w:rPr>
        <w:t xml:space="preserve">asons, Congress </w:t>
      </w:r>
      <w:r w:rsidR="00C7191B">
        <w:rPr>
          <w:rFonts w:ascii="Times New Roman" w:hAnsi="Times New Roman" w:cs="Times New Roman"/>
        </w:rPr>
        <w:t>wanted to replace the a</w:t>
      </w:r>
      <w:r w:rsidR="00D40242">
        <w:rPr>
          <w:rFonts w:ascii="Times New Roman" w:hAnsi="Times New Roman" w:cs="Times New Roman"/>
        </w:rPr>
        <w:t>dvance ruling requirement with “clear and certain regulations.”</w:t>
      </w:r>
      <w:r w:rsidR="00C26C71">
        <w:rPr>
          <w:rStyle w:val="FootnoteReference"/>
          <w:rFonts w:ascii="Times New Roman" w:hAnsi="Times New Roman" w:cs="Times New Roman"/>
        </w:rPr>
        <w:footnoteReference w:id="50"/>
      </w:r>
    </w:p>
    <w:p w14:paraId="5D431E1C" w14:textId="0CFE1CD2" w:rsidR="00770D41" w:rsidRDefault="005F2214" w:rsidP="0096648D">
      <w:pPr>
        <w:widowControl w:val="0"/>
        <w:spacing w:after="240" w:line="240" w:lineRule="auto"/>
        <w:rPr>
          <w:rFonts w:ascii="Times New Roman" w:hAnsi="Times New Roman" w:cs="Times New Roman"/>
        </w:rPr>
      </w:pPr>
      <w:r>
        <w:rPr>
          <w:rFonts w:ascii="Times New Roman" w:hAnsi="Times New Roman" w:cs="Times New Roman"/>
        </w:rPr>
        <w:t>To address these problems, section 367 was amended to establish separate rules for outbound transfers of property by a U.S. person (</w:t>
      </w:r>
      <w:r w:rsidR="00C26C71">
        <w:rPr>
          <w:rFonts w:ascii="Times New Roman" w:hAnsi="Times New Roman" w:cs="Times New Roman"/>
        </w:rPr>
        <w:t>Code Sec.</w:t>
      </w:r>
      <w:r>
        <w:rPr>
          <w:rFonts w:ascii="Times New Roman" w:hAnsi="Times New Roman" w:cs="Times New Roman"/>
        </w:rPr>
        <w:t xml:space="preserve"> 367(a)) and other transfers</w:t>
      </w:r>
      <w:r w:rsidR="00C26C71">
        <w:rPr>
          <w:rFonts w:ascii="Times New Roman" w:hAnsi="Times New Roman" w:cs="Times New Roman"/>
        </w:rPr>
        <w:t xml:space="preserve">, including inbound nonrecognition transactions and foreign-to-foreign transactions </w:t>
      </w:r>
      <w:r>
        <w:rPr>
          <w:rFonts w:ascii="Times New Roman" w:hAnsi="Times New Roman" w:cs="Times New Roman"/>
        </w:rPr>
        <w:t>(</w:t>
      </w:r>
      <w:r w:rsidR="00C26C71">
        <w:rPr>
          <w:rFonts w:ascii="Times New Roman" w:hAnsi="Times New Roman" w:cs="Times New Roman"/>
        </w:rPr>
        <w:t>Code Sec. 367(b)</w:t>
      </w:r>
      <w:r>
        <w:rPr>
          <w:rFonts w:ascii="Times New Roman" w:hAnsi="Times New Roman" w:cs="Times New Roman"/>
        </w:rPr>
        <w:t>).</w:t>
      </w:r>
      <w:r w:rsidR="006201CB">
        <w:rPr>
          <w:rFonts w:ascii="Times New Roman" w:hAnsi="Times New Roman" w:cs="Times New Roman"/>
        </w:rPr>
        <w:t xml:space="preserve"> </w:t>
      </w:r>
      <w:r w:rsidR="00D76A2E">
        <w:rPr>
          <w:rFonts w:ascii="Times New Roman" w:hAnsi="Times New Roman" w:cs="Times New Roman"/>
        </w:rPr>
        <w:t xml:space="preserve">For </w:t>
      </w:r>
      <w:r w:rsidR="00444309">
        <w:rPr>
          <w:rFonts w:ascii="Times New Roman" w:hAnsi="Times New Roman" w:cs="Times New Roman"/>
        </w:rPr>
        <w:t>these “other transfers,”</w:t>
      </w:r>
      <w:r w:rsidR="00D76A2E">
        <w:rPr>
          <w:rFonts w:ascii="Times New Roman" w:hAnsi="Times New Roman" w:cs="Times New Roman"/>
        </w:rPr>
        <w:t xml:space="preserve"> </w:t>
      </w:r>
      <w:r w:rsidR="00BC50EC">
        <w:rPr>
          <w:rFonts w:ascii="Times New Roman" w:hAnsi="Times New Roman" w:cs="Times New Roman"/>
        </w:rPr>
        <w:t xml:space="preserve">Congress </w:t>
      </w:r>
      <w:r w:rsidR="00770D41">
        <w:rPr>
          <w:rFonts w:ascii="Times New Roman" w:hAnsi="Times New Roman" w:cs="Times New Roman"/>
        </w:rPr>
        <w:t>replaced the</w:t>
      </w:r>
      <w:r w:rsidR="000852AD">
        <w:rPr>
          <w:rFonts w:ascii="Times New Roman" w:hAnsi="Times New Roman" w:cs="Times New Roman"/>
        </w:rPr>
        <w:t xml:space="preserve"> advance ruling requirement</w:t>
      </w:r>
      <w:r w:rsidR="00770D41">
        <w:rPr>
          <w:rFonts w:ascii="Times New Roman" w:hAnsi="Times New Roman" w:cs="Times New Roman"/>
        </w:rPr>
        <w:t xml:space="preserve"> with the</w:t>
      </w:r>
      <w:r w:rsidR="00FE52F0">
        <w:rPr>
          <w:rFonts w:ascii="Times New Roman" w:hAnsi="Times New Roman" w:cs="Times New Roman"/>
        </w:rPr>
        <w:t xml:space="preserve"> general</w:t>
      </w:r>
      <w:r w:rsidR="00770D41">
        <w:rPr>
          <w:rFonts w:ascii="Times New Roman" w:hAnsi="Times New Roman" w:cs="Times New Roman"/>
        </w:rPr>
        <w:t xml:space="preserve"> rule that a</w:t>
      </w:r>
      <w:r w:rsidR="00D76A2E">
        <w:rPr>
          <w:rFonts w:ascii="Times New Roman" w:hAnsi="Times New Roman" w:cs="Times New Roman"/>
        </w:rPr>
        <w:t xml:space="preserve"> foreign corporation </w:t>
      </w:r>
      <w:r w:rsidR="000852AD">
        <w:rPr>
          <w:rFonts w:ascii="Times New Roman" w:hAnsi="Times New Roman" w:cs="Times New Roman"/>
        </w:rPr>
        <w:t>is</w:t>
      </w:r>
      <w:r w:rsidR="00D76A2E">
        <w:rPr>
          <w:rFonts w:ascii="Times New Roman" w:hAnsi="Times New Roman" w:cs="Times New Roman"/>
        </w:rPr>
        <w:t xml:space="preserve"> treated as a corporation </w:t>
      </w:r>
      <w:r w:rsidR="000852AD">
        <w:rPr>
          <w:rFonts w:ascii="Times New Roman" w:hAnsi="Times New Roman" w:cs="Times New Roman"/>
        </w:rPr>
        <w:t>“</w:t>
      </w:r>
      <w:r w:rsidR="000852AD" w:rsidRPr="000852AD">
        <w:rPr>
          <w:rFonts w:ascii="Times New Roman" w:hAnsi="Times New Roman" w:cs="Times New Roman"/>
        </w:rPr>
        <w:t xml:space="preserve">except to the extent provided in regulations prescribed by the Secretary which are necessary </w:t>
      </w:r>
      <w:r w:rsidR="000852AD" w:rsidRPr="000852AD">
        <w:rPr>
          <w:rFonts w:ascii="Times New Roman" w:hAnsi="Times New Roman" w:cs="Times New Roman"/>
        </w:rPr>
        <w:lastRenderedPageBreak/>
        <w:t>or appropriate to prevent the avoidance of Federal income taxes</w:t>
      </w:r>
      <w:r w:rsidR="00D76A2E">
        <w:rPr>
          <w:rFonts w:ascii="Times New Roman" w:hAnsi="Times New Roman" w:cs="Times New Roman"/>
        </w:rPr>
        <w:t>.</w:t>
      </w:r>
      <w:r w:rsidR="00D76A2E">
        <w:rPr>
          <w:rStyle w:val="FootnoteReference"/>
          <w:rFonts w:ascii="Times New Roman" w:hAnsi="Times New Roman" w:cs="Times New Roman"/>
        </w:rPr>
        <w:footnoteReference w:id="51"/>
      </w:r>
      <w:r w:rsidR="00B07B71">
        <w:rPr>
          <w:rFonts w:ascii="Times New Roman" w:hAnsi="Times New Roman" w:cs="Times New Roman"/>
        </w:rPr>
        <w:t xml:space="preserve"> </w:t>
      </w:r>
      <w:r w:rsidR="00E32874">
        <w:rPr>
          <w:rFonts w:ascii="Times New Roman" w:hAnsi="Times New Roman" w:cs="Times New Roman"/>
        </w:rPr>
        <w:t>Code Sec.</w:t>
      </w:r>
      <w:r w:rsidR="00052070">
        <w:rPr>
          <w:rFonts w:ascii="Times New Roman" w:hAnsi="Times New Roman" w:cs="Times New Roman"/>
        </w:rPr>
        <w:t xml:space="preserve"> 367(b)(2) provides that the regulations</w:t>
      </w:r>
      <w:r w:rsidR="00986928">
        <w:rPr>
          <w:rFonts w:ascii="Times New Roman" w:hAnsi="Times New Roman" w:cs="Times New Roman"/>
        </w:rPr>
        <w:t xml:space="preserve"> </w:t>
      </w:r>
      <w:r w:rsidR="00E32874">
        <w:rPr>
          <w:rFonts w:ascii="Times New Roman" w:hAnsi="Times New Roman" w:cs="Times New Roman"/>
        </w:rPr>
        <w:t>to be issued by Treasury and the IRS</w:t>
      </w:r>
      <w:r w:rsidR="00770D41">
        <w:rPr>
          <w:rFonts w:ascii="Times New Roman" w:hAnsi="Times New Roman" w:cs="Times New Roman"/>
        </w:rPr>
        <w:t>—</w:t>
      </w:r>
    </w:p>
    <w:p w14:paraId="7C35D23A" w14:textId="77777777" w:rsidR="00E32874" w:rsidRPr="00E32874" w:rsidRDefault="00E32874" w:rsidP="0096648D">
      <w:pPr>
        <w:widowControl w:val="0"/>
        <w:spacing w:after="240" w:line="240" w:lineRule="auto"/>
        <w:ind w:left="720" w:right="720"/>
        <w:rPr>
          <w:rFonts w:ascii="Times New Roman" w:hAnsi="Times New Roman" w:cs="Times New Roman"/>
        </w:rPr>
      </w:pPr>
      <w:r w:rsidRPr="00E32874">
        <w:rPr>
          <w:rFonts w:ascii="Times New Roman" w:hAnsi="Times New Roman" w:cs="Times New Roman"/>
        </w:rPr>
        <w:t>shall include (but shall not be limited to) regulations dealing with the sale or exchange of stock or securities in a foreign corporation by a United States person, including regulations providing—</w:t>
      </w:r>
    </w:p>
    <w:p w14:paraId="37CEF4C1" w14:textId="77777777" w:rsidR="00E32874" w:rsidRPr="00E32874" w:rsidRDefault="00E32874" w:rsidP="0096648D">
      <w:pPr>
        <w:widowControl w:val="0"/>
        <w:spacing w:after="240" w:line="240" w:lineRule="auto"/>
        <w:ind w:left="720" w:right="720"/>
        <w:rPr>
          <w:rFonts w:ascii="Times New Roman" w:hAnsi="Times New Roman" w:cs="Times New Roman"/>
        </w:rPr>
      </w:pPr>
      <w:r w:rsidRPr="00E32874">
        <w:rPr>
          <w:rFonts w:ascii="Times New Roman" w:hAnsi="Times New Roman" w:cs="Times New Roman"/>
        </w:rPr>
        <w:t>(A) the circumstances under which—</w:t>
      </w:r>
    </w:p>
    <w:p w14:paraId="1990695B" w14:textId="77777777" w:rsidR="00E32874" w:rsidRPr="00E32874" w:rsidRDefault="00E32874" w:rsidP="0096648D">
      <w:pPr>
        <w:widowControl w:val="0"/>
        <w:spacing w:after="240" w:line="240" w:lineRule="auto"/>
        <w:ind w:left="720" w:right="720"/>
        <w:rPr>
          <w:rFonts w:ascii="Times New Roman" w:hAnsi="Times New Roman" w:cs="Times New Roman"/>
        </w:rPr>
      </w:pPr>
      <w:r w:rsidRPr="00E32874">
        <w:rPr>
          <w:rFonts w:ascii="Times New Roman" w:hAnsi="Times New Roman" w:cs="Times New Roman"/>
        </w:rPr>
        <w:t>(i) gain shall be recognized currently, or amounts included in gross income currently as a dividend, or both, or</w:t>
      </w:r>
    </w:p>
    <w:p w14:paraId="54268859" w14:textId="77777777" w:rsidR="00E32874" w:rsidRPr="00E32874" w:rsidRDefault="00E32874" w:rsidP="0096648D">
      <w:pPr>
        <w:widowControl w:val="0"/>
        <w:spacing w:after="240" w:line="240" w:lineRule="auto"/>
        <w:ind w:left="720" w:right="720"/>
        <w:rPr>
          <w:rFonts w:ascii="Times New Roman" w:hAnsi="Times New Roman" w:cs="Times New Roman"/>
        </w:rPr>
      </w:pPr>
      <w:r w:rsidRPr="00E32874">
        <w:rPr>
          <w:rFonts w:ascii="Times New Roman" w:hAnsi="Times New Roman" w:cs="Times New Roman"/>
        </w:rPr>
        <w:t>(ii) gain or other amounts may be deferred for inclusion in the gross income of a shareholder (or his successor in interest) at a later date, and</w:t>
      </w:r>
    </w:p>
    <w:p w14:paraId="318A4BC6" w14:textId="65499253" w:rsidR="00E32874" w:rsidRDefault="00E32874" w:rsidP="0096648D">
      <w:pPr>
        <w:widowControl w:val="0"/>
        <w:spacing w:after="240" w:line="240" w:lineRule="auto"/>
        <w:ind w:left="720" w:right="720"/>
        <w:rPr>
          <w:rFonts w:ascii="Times New Roman" w:hAnsi="Times New Roman" w:cs="Times New Roman"/>
        </w:rPr>
      </w:pPr>
      <w:r w:rsidRPr="00E32874">
        <w:rPr>
          <w:rFonts w:ascii="Times New Roman" w:hAnsi="Times New Roman" w:cs="Times New Roman"/>
        </w:rPr>
        <w:t>(B) the extent to which adjustments shall be made to earnings and profits, basis of stock or securities, and basis of assets.</w:t>
      </w:r>
    </w:p>
    <w:p w14:paraId="44D832B5" w14:textId="74F8A941" w:rsidR="0045162D" w:rsidRDefault="00770D41" w:rsidP="0096648D">
      <w:pPr>
        <w:widowControl w:val="0"/>
        <w:spacing w:after="240" w:line="240" w:lineRule="auto"/>
        <w:rPr>
          <w:rFonts w:ascii="Times New Roman" w:hAnsi="Times New Roman" w:cs="Times New Roman"/>
        </w:rPr>
      </w:pPr>
      <w:r>
        <w:rPr>
          <w:rFonts w:ascii="Times New Roman" w:hAnsi="Times New Roman" w:cs="Times New Roman"/>
        </w:rPr>
        <w:t>In authorizing regulations, Congress “recognized that the present rules were necessarily highly technical and largely procedural…to protect against tax avoidance in transfers to foreign corporations and upon the repatriation of previously untaxed foreign earnings.” However, Congress warned that “unnecessary barriers to justifiable and legitimate business transactions should be avoided.”</w:t>
      </w:r>
      <w:r>
        <w:rPr>
          <w:rStyle w:val="FootnoteReference"/>
          <w:rFonts w:ascii="Times New Roman" w:hAnsi="Times New Roman" w:cs="Times New Roman"/>
        </w:rPr>
        <w:footnoteReference w:id="52"/>
      </w:r>
    </w:p>
    <w:p w14:paraId="6C490AB2" w14:textId="5A9033C0" w:rsidR="00C703A0" w:rsidRPr="00C703A0" w:rsidRDefault="00C703A0" w:rsidP="0096648D">
      <w:pPr>
        <w:pStyle w:val="Heading3"/>
        <w:keepNext w:val="0"/>
        <w:keepLines w:val="0"/>
        <w:widowControl w:val="0"/>
      </w:pPr>
      <w:r w:rsidRPr="00C703A0">
        <w:t xml:space="preserve">Temporary Regulations </w:t>
      </w:r>
    </w:p>
    <w:p w14:paraId="37A2160E" w14:textId="2C55109B" w:rsidR="00ED62A4" w:rsidRDefault="006201CB" w:rsidP="0096648D">
      <w:pPr>
        <w:widowControl w:val="0"/>
        <w:spacing w:after="240" w:line="240" w:lineRule="auto"/>
        <w:rPr>
          <w:rFonts w:ascii="Times New Roman" w:hAnsi="Times New Roman" w:cs="Times New Roman"/>
        </w:rPr>
      </w:pPr>
      <w:r>
        <w:rPr>
          <w:rFonts w:ascii="Times New Roman" w:hAnsi="Times New Roman" w:cs="Times New Roman"/>
        </w:rPr>
        <w:t xml:space="preserve">The first comprehensive set of regulations under </w:t>
      </w:r>
      <w:r w:rsidR="002A147E">
        <w:rPr>
          <w:rFonts w:ascii="Times New Roman" w:hAnsi="Times New Roman" w:cs="Times New Roman"/>
        </w:rPr>
        <w:t>Code Sec.</w:t>
      </w:r>
      <w:r>
        <w:rPr>
          <w:rFonts w:ascii="Times New Roman" w:hAnsi="Times New Roman" w:cs="Times New Roman"/>
        </w:rPr>
        <w:t xml:space="preserve"> 367(b) were released in 1977</w:t>
      </w:r>
      <w:r w:rsidR="009949C8">
        <w:rPr>
          <w:rFonts w:ascii="Times New Roman" w:hAnsi="Times New Roman" w:cs="Times New Roman"/>
        </w:rPr>
        <w:t xml:space="preserve"> as temporary regulations</w:t>
      </w:r>
      <w:r w:rsidR="002A147E">
        <w:rPr>
          <w:rFonts w:ascii="Times New Roman" w:hAnsi="Times New Roman" w:cs="Times New Roman"/>
        </w:rPr>
        <w:t xml:space="preserve"> (the “</w:t>
      </w:r>
      <w:r w:rsidR="002A147E">
        <w:rPr>
          <w:rFonts w:ascii="Times New Roman" w:hAnsi="Times New Roman" w:cs="Times New Roman"/>
          <w:b/>
          <w:bCs/>
        </w:rPr>
        <w:t>temporary regulations</w:t>
      </w:r>
      <w:r w:rsidR="002A147E">
        <w:rPr>
          <w:rFonts w:ascii="Times New Roman" w:hAnsi="Times New Roman" w:cs="Times New Roman"/>
        </w:rPr>
        <w:t>”)</w:t>
      </w:r>
      <w:r w:rsidR="000D608D">
        <w:rPr>
          <w:rFonts w:ascii="Times New Roman" w:hAnsi="Times New Roman" w:cs="Times New Roman"/>
        </w:rPr>
        <w:t>.</w:t>
      </w:r>
      <w:r w:rsidR="00FC1948">
        <w:rPr>
          <w:rStyle w:val="FootnoteReference"/>
          <w:rFonts w:ascii="Times New Roman" w:hAnsi="Times New Roman" w:cs="Times New Roman"/>
        </w:rPr>
        <w:footnoteReference w:id="53"/>
      </w:r>
      <w:r w:rsidR="00FC1948">
        <w:rPr>
          <w:rFonts w:ascii="Times New Roman" w:hAnsi="Times New Roman" w:cs="Times New Roman"/>
        </w:rPr>
        <w:t xml:space="preserve"> </w:t>
      </w:r>
      <w:r w:rsidR="000D608D">
        <w:rPr>
          <w:rFonts w:ascii="Times New Roman" w:hAnsi="Times New Roman" w:cs="Times New Roman"/>
        </w:rPr>
        <w:t xml:space="preserve">The temporary regulations </w:t>
      </w:r>
      <w:r w:rsidR="00855D03" w:rsidRPr="00855D03">
        <w:rPr>
          <w:rFonts w:ascii="Times New Roman" w:hAnsi="Times New Roman" w:cs="Times New Roman"/>
        </w:rPr>
        <w:t xml:space="preserve">provided a complex set of rules which generally require either (1) an immediate US tax upon the repatriation of undistributed foreign earnings or where the application of </w:t>
      </w:r>
      <w:r w:rsidR="006B1220">
        <w:rPr>
          <w:rFonts w:ascii="Times New Roman" w:hAnsi="Times New Roman" w:cs="Times New Roman"/>
        </w:rPr>
        <w:t>Code Sec.</w:t>
      </w:r>
      <w:r w:rsidR="006B1220" w:rsidRPr="00855D03">
        <w:rPr>
          <w:rFonts w:ascii="Times New Roman" w:hAnsi="Times New Roman" w:cs="Times New Roman"/>
        </w:rPr>
        <w:t xml:space="preserve"> </w:t>
      </w:r>
      <w:r w:rsidR="00855D03" w:rsidRPr="00855D03">
        <w:rPr>
          <w:rFonts w:ascii="Times New Roman" w:hAnsi="Times New Roman" w:cs="Times New Roman"/>
        </w:rPr>
        <w:t xml:space="preserve">1248 could not be preserved or (2) where the application of </w:t>
      </w:r>
      <w:r w:rsidR="004B45F2">
        <w:rPr>
          <w:rFonts w:ascii="Times New Roman" w:hAnsi="Times New Roman" w:cs="Times New Roman"/>
        </w:rPr>
        <w:t>Code Sec.</w:t>
      </w:r>
      <w:r w:rsidR="004B45F2" w:rsidRPr="00855D03">
        <w:rPr>
          <w:rFonts w:ascii="Times New Roman" w:hAnsi="Times New Roman" w:cs="Times New Roman"/>
        </w:rPr>
        <w:t xml:space="preserve"> </w:t>
      </w:r>
      <w:r w:rsidR="00855D03" w:rsidRPr="00855D03">
        <w:rPr>
          <w:rFonts w:ascii="Times New Roman" w:hAnsi="Times New Roman" w:cs="Times New Roman"/>
        </w:rPr>
        <w:t>1248 could be preserved, attribution of various amounts (</w:t>
      </w:r>
      <w:r w:rsidR="00855D03" w:rsidRPr="00C26F1E">
        <w:rPr>
          <w:rFonts w:ascii="Times New Roman" w:hAnsi="Times New Roman" w:cs="Times New Roman"/>
          <w:i/>
          <w:iCs/>
        </w:rPr>
        <w:t>e.g.</w:t>
      </w:r>
      <w:r w:rsidR="00855D03" w:rsidRPr="00855D03">
        <w:rPr>
          <w:rFonts w:ascii="Times New Roman" w:hAnsi="Times New Roman" w:cs="Times New Roman"/>
        </w:rPr>
        <w:t xml:space="preserve">, the “1248 amount,” or “all E&amp;P amount”) from the stock surrendered to the stock received. </w:t>
      </w:r>
    </w:p>
    <w:p w14:paraId="48C311FD" w14:textId="567FEC3D" w:rsidR="00E672C6" w:rsidRPr="00E672C6" w:rsidRDefault="00855D03" w:rsidP="0096648D">
      <w:pPr>
        <w:widowControl w:val="0"/>
        <w:spacing w:after="240" w:line="240" w:lineRule="auto"/>
        <w:rPr>
          <w:rFonts w:ascii="Times New Roman" w:hAnsi="Times New Roman" w:cs="Times New Roman"/>
        </w:rPr>
      </w:pPr>
      <w:r w:rsidRPr="00855D03">
        <w:rPr>
          <w:rFonts w:ascii="Times New Roman" w:hAnsi="Times New Roman" w:cs="Times New Roman"/>
        </w:rPr>
        <w:t>The temporary regulations</w:t>
      </w:r>
      <w:r w:rsidR="000254BE">
        <w:rPr>
          <w:rFonts w:ascii="Times New Roman" w:hAnsi="Times New Roman" w:cs="Times New Roman"/>
        </w:rPr>
        <w:t xml:space="preserve"> generally</w:t>
      </w:r>
      <w:r w:rsidR="003E2B21">
        <w:rPr>
          <w:rFonts w:ascii="Times New Roman" w:hAnsi="Times New Roman" w:cs="Times New Roman"/>
        </w:rPr>
        <w:t xml:space="preserve"> adopted </w:t>
      </w:r>
      <w:r w:rsidR="000254BE">
        <w:rPr>
          <w:rFonts w:ascii="Times New Roman" w:hAnsi="Times New Roman" w:cs="Times New Roman"/>
        </w:rPr>
        <w:t>th</w:t>
      </w:r>
      <w:r w:rsidR="00B41034">
        <w:rPr>
          <w:rFonts w:ascii="Times New Roman" w:hAnsi="Times New Roman" w:cs="Times New Roman"/>
        </w:rPr>
        <w:t xml:space="preserve">e </w:t>
      </w:r>
      <w:r w:rsidR="000254BE">
        <w:rPr>
          <w:rFonts w:ascii="Times New Roman" w:hAnsi="Times New Roman" w:cs="Times New Roman"/>
        </w:rPr>
        <w:t>guidelines, with minor modifications</w:t>
      </w:r>
      <w:r w:rsidR="000B0C5C">
        <w:rPr>
          <w:rFonts w:ascii="Times New Roman" w:hAnsi="Times New Roman" w:cs="Times New Roman"/>
        </w:rPr>
        <w:t xml:space="preserve"> described below. </w:t>
      </w:r>
      <w:r w:rsidR="00E672C6" w:rsidRPr="00E672C6">
        <w:rPr>
          <w:rFonts w:ascii="Times New Roman" w:hAnsi="Times New Roman" w:cs="Times New Roman"/>
        </w:rPr>
        <w:t xml:space="preserve">As is relevant to </w:t>
      </w:r>
      <w:r w:rsidR="00D801C5">
        <w:rPr>
          <w:rFonts w:ascii="Times New Roman" w:hAnsi="Times New Roman" w:cs="Times New Roman"/>
        </w:rPr>
        <w:t>B3 and B4</w:t>
      </w:r>
      <w:r w:rsidR="00E672C6" w:rsidRPr="00E672C6">
        <w:rPr>
          <w:rFonts w:ascii="Times New Roman" w:hAnsi="Times New Roman" w:cs="Times New Roman"/>
        </w:rPr>
        <w:t>, the 1977 temporary regulations applied in the following manner:</w:t>
      </w:r>
    </w:p>
    <w:p w14:paraId="7E95E030" w14:textId="7CA228F2" w:rsidR="00E672C6" w:rsidRPr="00E672C6" w:rsidRDefault="00D801C5" w:rsidP="0096648D">
      <w:pPr>
        <w:widowControl w:val="0"/>
        <w:numPr>
          <w:ilvl w:val="0"/>
          <w:numId w:val="47"/>
        </w:numPr>
        <w:spacing w:after="240" w:line="240" w:lineRule="auto"/>
        <w:rPr>
          <w:rFonts w:ascii="Times New Roman" w:hAnsi="Times New Roman" w:cs="Times New Roman"/>
        </w:rPr>
      </w:pPr>
      <w:r>
        <w:rPr>
          <w:rFonts w:ascii="Times New Roman" w:hAnsi="Times New Roman" w:cs="Times New Roman"/>
        </w:rPr>
        <w:t>If a</w:t>
      </w:r>
      <w:r w:rsidRPr="00E672C6">
        <w:rPr>
          <w:rFonts w:ascii="Times New Roman" w:hAnsi="Times New Roman" w:cs="Times New Roman"/>
        </w:rPr>
        <w:t xml:space="preserve"> </w:t>
      </w:r>
      <w:r w:rsidR="00E672C6" w:rsidRPr="00E672C6">
        <w:rPr>
          <w:rFonts w:ascii="Times New Roman" w:hAnsi="Times New Roman" w:cs="Times New Roman"/>
        </w:rPr>
        <w:t xml:space="preserve">domestic corporation acquires the assets of a foreign corporation in </w:t>
      </w:r>
      <w:r w:rsidR="0004705B">
        <w:rPr>
          <w:rFonts w:ascii="Times New Roman" w:hAnsi="Times New Roman" w:cs="Times New Roman"/>
        </w:rPr>
        <w:t>an inbound liquidation</w:t>
      </w:r>
      <w:r w:rsidR="00E672C6" w:rsidRPr="00E672C6">
        <w:rPr>
          <w:rFonts w:ascii="Times New Roman" w:hAnsi="Times New Roman" w:cs="Times New Roman"/>
        </w:rPr>
        <w:t>, the domestic corporation either (1) include</w:t>
      </w:r>
      <w:r w:rsidR="004715BF">
        <w:rPr>
          <w:rFonts w:ascii="Times New Roman" w:hAnsi="Times New Roman" w:cs="Times New Roman"/>
        </w:rPr>
        <w:t>s</w:t>
      </w:r>
      <w:r w:rsidR="00E672C6" w:rsidRPr="00E672C6">
        <w:rPr>
          <w:rFonts w:ascii="Times New Roman" w:hAnsi="Times New Roman" w:cs="Times New Roman"/>
        </w:rPr>
        <w:t xml:space="preserve"> as a deemed dividend the </w:t>
      </w:r>
      <w:r w:rsidR="000D4AC1">
        <w:rPr>
          <w:rFonts w:ascii="Times New Roman" w:hAnsi="Times New Roman" w:cs="Times New Roman"/>
        </w:rPr>
        <w:t xml:space="preserve">all </w:t>
      </w:r>
      <w:r w:rsidR="0089609B">
        <w:rPr>
          <w:rFonts w:ascii="Times New Roman" w:hAnsi="Times New Roman" w:cs="Times New Roman"/>
        </w:rPr>
        <w:t>e</w:t>
      </w:r>
      <w:r w:rsidR="00475567">
        <w:rPr>
          <w:rFonts w:ascii="Times New Roman" w:hAnsi="Times New Roman" w:cs="Times New Roman"/>
        </w:rPr>
        <w:t>arnings and profits</w:t>
      </w:r>
      <w:r w:rsidR="000D4AC1">
        <w:rPr>
          <w:rFonts w:ascii="Times New Roman" w:hAnsi="Times New Roman" w:cs="Times New Roman"/>
        </w:rPr>
        <w:t xml:space="preserve"> amount</w:t>
      </w:r>
      <w:r w:rsidR="00475567">
        <w:rPr>
          <w:rFonts w:ascii="Times New Roman" w:hAnsi="Times New Roman" w:cs="Times New Roman"/>
        </w:rPr>
        <w:t xml:space="preserve"> (“</w:t>
      </w:r>
      <w:r w:rsidR="00475567" w:rsidRPr="00CC0509">
        <w:rPr>
          <w:rFonts w:ascii="Times New Roman" w:hAnsi="Times New Roman" w:cs="Times New Roman"/>
          <w:b/>
          <w:bCs/>
        </w:rPr>
        <w:t>all E&amp;P amount</w:t>
      </w:r>
      <w:r w:rsidR="00475567">
        <w:rPr>
          <w:rFonts w:ascii="Times New Roman" w:hAnsi="Times New Roman" w:cs="Times New Roman"/>
        </w:rPr>
        <w:t>”)</w:t>
      </w:r>
      <w:r w:rsidR="000D4AC1" w:rsidRPr="00E672C6">
        <w:rPr>
          <w:rFonts w:ascii="Times New Roman" w:hAnsi="Times New Roman" w:cs="Times New Roman"/>
          <w:vertAlign w:val="superscript"/>
        </w:rPr>
        <w:footnoteReference w:id="54"/>
      </w:r>
      <w:r w:rsidR="000D4AC1">
        <w:rPr>
          <w:rFonts w:ascii="Times New Roman" w:hAnsi="Times New Roman" w:cs="Times New Roman"/>
        </w:rPr>
        <w:t xml:space="preserve"> </w:t>
      </w:r>
      <w:r w:rsidR="00E672C6" w:rsidRPr="00E672C6">
        <w:rPr>
          <w:rFonts w:ascii="Times New Roman" w:hAnsi="Times New Roman" w:cs="Times New Roman"/>
        </w:rPr>
        <w:t xml:space="preserve">with respect to its stock of the foreign corporation or (2) </w:t>
      </w:r>
      <w:r w:rsidR="00E672C6" w:rsidRPr="00E672C6">
        <w:rPr>
          <w:rFonts w:ascii="Times New Roman" w:hAnsi="Times New Roman" w:cs="Times New Roman"/>
        </w:rPr>
        <w:lastRenderedPageBreak/>
        <w:t>recognize</w:t>
      </w:r>
      <w:r w:rsidR="004715BF">
        <w:rPr>
          <w:rFonts w:ascii="Times New Roman" w:hAnsi="Times New Roman" w:cs="Times New Roman"/>
        </w:rPr>
        <w:t>s</w:t>
      </w:r>
      <w:r w:rsidR="00E672C6" w:rsidRPr="00E672C6">
        <w:rPr>
          <w:rFonts w:ascii="Times New Roman" w:hAnsi="Times New Roman" w:cs="Times New Roman"/>
        </w:rPr>
        <w:t xml:space="preserve"> gain with respect to its stock of the foreign corporation</w:t>
      </w:r>
      <w:r w:rsidR="00176128">
        <w:rPr>
          <w:rFonts w:ascii="Times New Roman" w:hAnsi="Times New Roman" w:cs="Times New Roman"/>
        </w:rPr>
        <w:t>.</w:t>
      </w:r>
      <w:r w:rsidR="00E672C6" w:rsidRPr="00E672C6">
        <w:rPr>
          <w:rFonts w:ascii="Times New Roman" w:hAnsi="Times New Roman" w:cs="Times New Roman"/>
          <w:vertAlign w:val="superscript"/>
        </w:rPr>
        <w:footnoteReference w:id="55"/>
      </w:r>
    </w:p>
    <w:p w14:paraId="33CAE736" w14:textId="2A92F310" w:rsidR="00620611" w:rsidRDefault="00620611" w:rsidP="0096648D">
      <w:pPr>
        <w:widowControl w:val="0"/>
        <w:numPr>
          <w:ilvl w:val="0"/>
          <w:numId w:val="47"/>
        </w:numPr>
        <w:spacing w:after="240" w:line="240" w:lineRule="auto"/>
        <w:rPr>
          <w:rFonts w:ascii="Times New Roman" w:hAnsi="Times New Roman" w:cs="Times New Roman"/>
        </w:rPr>
      </w:pPr>
      <w:r>
        <w:rPr>
          <w:rFonts w:ascii="Times New Roman" w:hAnsi="Times New Roman" w:cs="Times New Roman"/>
        </w:rPr>
        <w:t>If a</w:t>
      </w:r>
      <w:r w:rsidR="00E672C6" w:rsidRPr="00E672C6">
        <w:rPr>
          <w:rFonts w:ascii="Times New Roman" w:hAnsi="Times New Roman" w:cs="Times New Roman"/>
        </w:rPr>
        <w:t xml:space="preserve"> domestic corporation acquires the assets of a foreign corporation in </w:t>
      </w:r>
      <w:r w:rsidR="0004705B">
        <w:rPr>
          <w:rFonts w:ascii="Times New Roman" w:hAnsi="Times New Roman" w:cs="Times New Roman"/>
        </w:rPr>
        <w:t>an inbound asset reorganization</w:t>
      </w:r>
      <w:r>
        <w:rPr>
          <w:rFonts w:ascii="Times New Roman" w:hAnsi="Times New Roman" w:cs="Times New Roman"/>
        </w:rPr>
        <w:t>—</w:t>
      </w:r>
    </w:p>
    <w:p w14:paraId="5286C1D7" w14:textId="20DABA65" w:rsidR="003E4019" w:rsidRDefault="003E4019" w:rsidP="0096648D">
      <w:pPr>
        <w:widowControl w:val="0"/>
        <w:numPr>
          <w:ilvl w:val="1"/>
          <w:numId w:val="47"/>
        </w:numPr>
        <w:spacing w:after="240" w:line="240" w:lineRule="auto"/>
        <w:ind w:left="1080"/>
        <w:rPr>
          <w:rFonts w:ascii="Times New Roman" w:hAnsi="Times New Roman" w:cs="Times New Roman"/>
        </w:rPr>
      </w:pPr>
      <w:r>
        <w:rPr>
          <w:rFonts w:ascii="Times New Roman" w:hAnsi="Times New Roman" w:cs="Times New Roman"/>
        </w:rPr>
        <w:t>A</w:t>
      </w:r>
      <w:r w:rsidR="00E672C6" w:rsidRPr="00E672C6">
        <w:rPr>
          <w:rFonts w:ascii="Times New Roman" w:hAnsi="Times New Roman" w:cs="Times New Roman"/>
        </w:rPr>
        <w:t xml:space="preserve"> non-corporate 1248 shareholder</w:t>
      </w:r>
      <w:r>
        <w:rPr>
          <w:rFonts w:ascii="Times New Roman" w:hAnsi="Times New Roman" w:cs="Times New Roman"/>
        </w:rPr>
        <w:t xml:space="preserve"> includes in gross </w:t>
      </w:r>
      <w:r w:rsidR="00E672C6" w:rsidRPr="00E672C6">
        <w:rPr>
          <w:rFonts w:ascii="Times New Roman" w:hAnsi="Times New Roman" w:cs="Times New Roman"/>
        </w:rPr>
        <w:t>income as a deemed dividend the 1248 amount with respect to its stock of the foreign corporation.</w:t>
      </w:r>
      <w:r w:rsidR="00E672C6" w:rsidRPr="00E672C6">
        <w:rPr>
          <w:rFonts w:ascii="Times New Roman" w:hAnsi="Times New Roman" w:cs="Times New Roman"/>
          <w:vertAlign w:val="superscript"/>
        </w:rPr>
        <w:footnoteReference w:id="56"/>
      </w:r>
    </w:p>
    <w:p w14:paraId="52C4F2F0" w14:textId="044FD585" w:rsidR="00BC77D7" w:rsidRDefault="003E4019" w:rsidP="0096648D">
      <w:pPr>
        <w:widowControl w:val="0"/>
        <w:numPr>
          <w:ilvl w:val="1"/>
          <w:numId w:val="47"/>
        </w:numPr>
        <w:spacing w:after="240" w:line="240" w:lineRule="auto"/>
        <w:ind w:left="1080"/>
        <w:rPr>
          <w:rFonts w:ascii="Times New Roman" w:hAnsi="Times New Roman" w:cs="Times New Roman"/>
        </w:rPr>
      </w:pPr>
      <w:r>
        <w:rPr>
          <w:rFonts w:ascii="Times New Roman" w:hAnsi="Times New Roman" w:cs="Times New Roman"/>
        </w:rPr>
        <w:t xml:space="preserve">A </w:t>
      </w:r>
      <w:r w:rsidR="00E672C6" w:rsidRPr="00E672C6">
        <w:rPr>
          <w:rFonts w:ascii="Times New Roman" w:hAnsi="Times New Roman" w:cs="Times New Roman"/>
        </w:rPr>
        <w:t>corporate 1248 shareholder either (1) include</w:t>
      </w:r>
      <w:r w:rsidR="000175AE">
        <w:rPr>
          <w:rFonts w:ascii="Times New Roman" w:hAnsi="Times New Roman" w:cs="Times New Roman"/>
        </w:rPr>
        <w:t>s in gross income as a deemed dividend</w:t>
      </w:r>
      <w:r w:rsidR="00E672C6" w:rsidRPr="00E672C6">
        <w:rPr>
          <w:rFonts w:ascii="Times New Roman" w:hAnsi="Times New Roman" w:cs="Times New Roman"/>
        </w:rPr>
        <w:t xml:space="preserve"> the </w:t>
      </w:r>
      <w:r w:rsidR="00475567">
        <w:rPr>
          <w:rFonts w:ascii="Times New Roman" w:hAnsi="Times New Roman" w:cs="Times New Roman"/>
        </w:rPr>
        <w:t>all E&amp;P amount</w:t>
      </w:r>
      <w:r w:rsidR="00E672C6" w:rsidRPr="00E672C6">
        <w:rPr>
          <w:rFonts w:ascii="Times New Roman" w:hAnsi="Times New Roman" w:cs="Times New Roman"/>
        </w:rPr>
        <w:t xml:space="preserve"> with respect to its stock of the foreign corporation or (2) recognize</w:t>
      </w:r>
      <w:r w:rsidR="000175AE">
        <w:rPr>
          <w:rFonts w:ascii="Times New Roman" w:hAnsi="Times New Roman" w:cs="Times New Roman"/>
        </w:rPr>
        <w:t>s</w:t>
      </w:r>
      <w:r w:rsidR="00E672C6" w:rsidRPr="00E672C6">
        <w:rPr>
          <w:rFonts w:ascii="Times New Roman" w:hAnsi="Times New Roman" w:cs="Times New Roman"/>
        </w:rPr>
        <w:t xml:space="preserve"> gain with respect to its stock of the foreign corporation</w:t>
      </w:r>
      <w:r w:rsidR="005F64AC">
        <w:rPr>
          <w:rFonts w:ascii="Times New Roman" w:hAnsi="Times New Roman" w:cs="Times New Roman"/>
        </w:rPr>
        <w:t>.</w:t>
      </w:r>
      <w:r w:rsidR="00E672C6" w:rsidRPr="00E672C6">
        <w:rPr>
          <w:rFonts w:ascii="Times New Roman" w:hAnsi="Times New Roman" w:cs="Times New Roman"/>
          <w:vertAlign w:val="superscript"/>
        </w:rPr>
        <w:footnoteReference w:id="57"/>
      </w:r>
    </w:p>
    <w:p w14:paraId="56C68400" w14:textId="5295B148" w:rsidR="00E672C6" w:rsidRPr="00E672C6" w:rsidRDefault="00E672C6" w:rsidP="0096648D">
      <w:pPr>
        <w:widowControl w:val="0"/>
        <w:numPr>
          <w:ilvl w:val="1"/>
          <w:numId w:val="47"/>
        </w:numPr>
        <w:spacing w:after="240" w:line="240" w:lineRule="auto"/>
        <w:ind w:left="1080"/>
        <w:rPr>
          <w:rFonts w:ascii="Times New Roman" w:hAnsi="Times New Roman" w:cs="Times New Roman"/>
        </w:rPr>
      </w:pPr>
      <w:r w:rsidRPr="00E672C6">
        <w:rPr>
          <w:rFonts w:ascii="Times New Roman" w:hAnsi="Times New Roman" w:cs="Times New Roman"/>
        </w:rPr>
        <w:t xml:space="preserve">A foreign corporate shareholder </w:t>
      </w:r>
      <w:r w:rsidR="00BC77D7">
        <w:rPr>
          <w:rFonts w:ascii="Times New Roman" w:hAnsi="Times New Roman" w:cs="Times New Roman"/>
        </w:rPr>
        <w:t>adds</w:t>
      </w:r>
      <w:r w:rsidRPr="00E672C6">
        <w:rPr>
          <w:rFonts w:ascii="Times New Roman" w:hAnsi="Times New Roman" w:cs="Times New Roman"/>
        </w:rPr>
        <w:t xml:space="preserve"> to its E&amp;P or deficit the E&amp;P of the foreign corporation attributable to its 1248 shareholders (</w:t>
      </w:r>
      <w:r w:rsidR="008153EA">
        <w:rPr>
          <w:rFonts w:ascii="Times New Roman" w:hAnsi="Times New Roman" w:cs="Times New Roman"/>
        </w:rPr>
        <w:t>“</w:t>
      </w:r>
      <w:r w:rsidRPr="00E672C6">
        <w:rPr>
          <w:rFonts w:ascii="Times New Roman" w:hAnsi="Times New Roman" w:cs="Times New Roman"/>
          <w:b/>
          <w:bCs/>
        </w:rPr>
        <w:t>1248(c)(2) amount</w:t>
      </w:r>
      <w:r w:rsidR="008153EA">
        <w:rPr>
          <w:rFonts w:ascii="Times New Roman" w:hAnsi="Times New Roman" w:cs="Times New Roman"/>
          <w:b/>
          <w:bCs/>
        </w:rPr>
        <w:t>”</w:t>
      </w:r>
      <w:r w:rsidRPr="00E672C6">
        <w:rPr>
          <w:rFonts w:ascii="Times New Roman" w:hAnsi="Times New Roman" w:cs="Times New Roman"/>
        </w:rPr>
        <w:t>)</w:t>
      </w:r>
      <w:r w:rsidR="005F64AC">
        <w:rPr>
          <w:rFonts w:ascii="Times New Roman" w:hAnsi="Times New Roman" w:cs="Times New Roman"/>
        </w:rPr>
        <w:t>.</w:t>
      </w:r>
      <w:r w:rsidRPr="00E672C6">
        <w:rPr>
          <w:rFonts w:ascii="Times New Roman" w:hAnsi="Times New Roman" w:cs="Times New Roman"/>
          <w:vertAlign w:val="superscript"/>
        </w:rPr>
        <w:footnoteReference w:id="58"/>
      </w:r>
      <w:r w:rsidRPr="00E672C6">
        <w:rPr>
          <w:rFonts w:ascii="Times New Roman" w:hAnsi="Times New Roman" w:cs="Times New Roman"/>
        </w:rPr>
        <w:t xml:space="preserve"> </w:t>
      </w:r>
    </w:p>
    <w:p w14:paraId="1F3BBBFC" w14:textId="44A9CC7C" w:rsidR="00B665FE" w:rsidRDefault="00B665FE" w:rsidP="0096648D">
      <w:pPr>
        <w:widowControl w:val="0"/>
        <w:numPr>
          <w:ilvl w:val="0"/>
          <w:numId w:val="47"/>
        </w:numPr>
        <w:spacing w:after="240" w:line="240" w:lineRule="auto"/>
        <w:rPr>
          <w:rFonts w:ascii="Times New Roman" w:hAnsi="Times New Roman" w:cs="Times New Roman"/>
        </w:rPr>
      </w:pPr>
      <w:r>
        <w:rPr>
          <w:rFonts w:ascii="Times New Roman" w:hAnsi="Times New Roman" w:cs="Times New Roman"/>
        </w:rPr>
        <w:t>If a</w:t>
      </w:r>
      <w:r w:rsidRPr="00E672C6">
        <w:rPr>
          <w:rFonts w:ascii="Times New Roman" w:hAnsi="Times New Roman" w:cs="Times New Roman"/>
        </w:rPr>
        <w:t xml:space="preserve"> </w:t>
      </w:r>
      <w:r w:rsidR="00E672C6" w:rsidRPr="00E672C6">
        <w:rPr>
          <w:rFonts w:ascii="Times New Roman" w:hAnsi="Times New Roman" w:cs="Times New Roman"/>
        </w:rPr>
        <w:t xml:space="preserve">domestic corporation acquires the stock of a foreign corporation in a reorganization under </w:t>
      </w:r>
      <w:r w:rsidR="00C27E7B">
        <w:rPr>
          <w:rFonts w:ascii="Times New Roman" w:hAnsi="Times New Roman" w:cs="Times New Roman"/>
        </w:rPr>
        <w:t xml:space="preserve">Code Sec. </w:t>
      </w:r>
      <w:r w:rsidR="00E672C6" w:rsidRPr="00E672C6">
        <w:rPr>
          <w:rFonts w:ascii="Times New Roman" w:hAnsi="Times New Roman" w:cs="Times New Roman"/>
        </w:rPr>
        <w:t>368</w:t>
      </w:r>
      <w:r>
        <w:rPr>
          <w:rFonts w:ascii="Times New Roman" w:hAnsi="Times New Roman" w:cs="Times New Roman"/>
        </w:rPr>
        <w:t>—</w:t>
      </w:r>
    </w:p>
    <w:p w14:paraId="19502637" w14:textId="594B1B1A" w:rsidR="00B665FE" w:rsidRDefault="00B665FE" w:rsidP="0096648D">
      <w:pPr>
        <w:widowControl w:val="0"/>
        <w:numPr>
          <w:ilvl w:val="1"/>
          <w:numId w:val="47"/>
        </w:numPr>
        <w:spacing w:after="240" w:line="240" w:lineRule="auto"/>
        <w:ind w:left="1080"/>
        <w:rPr>
          <w:rFonts w:ascii="Times New Roman" w:hAnsi="Times New Roman" w:cs="Times New Roman"/>
        </w:rPr>
      </w:pPr>
      <w:r w:rsidRPr="00B665FE">
        <w:rPr>
          <w:rFonts w:ascii="Times New Roman" w:hAnsi="Times New Roman" w:cs="Times New Roman"/>
        </w:rPr>
        <w:t xml:space="preserve">A </w:t>
      </w:r>
      <w:r w:rsidR="00E672C6" w:rsidRPr="00B75269">
        <w:rPr>
          <w:rFonts w:ascii="Times New Roman" w:hAnsi="Times New Roman" w:cs="Times New Roman"/>
        </w:rPr>
        <w:t>1248 shareholder include</w:t>
      </w:r>
      <w:r w:rsidR="00701C18">
        <w:rPr>
          <w:rFonts w:ascii="Times New Roman" w:hAnsi="Times New Roman" w:cs="Times New Roman"/>
        </w:rPr>
        <w:t>s</w:t>
      </w:r>
      <w:r w:rsidR="00E672C6" w:rsidRPr="00B75269">
        <w:rPr>
          <w:rFonts w:ascii="Times New Roman" w:hAnsi="Times New Roman" w:cs="Times New Roman"/>
        </w:rPr>
        <w:t xml:space="preserve"> in</w:t>
      </w:r>
      <w:r w:rsidR="00701C18">
        <w:rPr>
          <w:rFonts w:ascii="Times New Roman" w:hAnsi="Times New Roman" w:cs="Times New Roman"/>
        </w:rPr>
        <w:t xml:space="preserve"> gross</w:t>
      </w:r>
      <w:r w:rsidR="00E672C6" w:rsidRPr="00B75269">
        <w:rPr>
          <w:rFonts w:ascii="Times New Roman" w:hAnsi="Times New Roman" w:cs="Times New Roman"/>
        </w:rPr>
        <w:t xml:space="preserve"> income </w:t>
      </w:r>
      <w:r w:rsidR="00701C18">
        <w:rPr>
          <w:rFonts w:ascii="Times New Roman" w:hAnsi="Times New Roman" w:cs="Times New Roman"/>
        </w:rPr>
        <w:t xml:space="preserve">as a deemed dividend </w:t>
      </w:r>
      <w:r w:rsidR="00E672C6" w:rsidRPr="00B75269">
        <w:rPr>
          <w:rFonts w:ascii="Times New Roman" w:hAnsi="Times New Roman" w:cs="Times New Roman"/>
        </w:rPr>
        <w:t>the 1248 amount with respect to its stock of the foreign corporation</w:t>
      </w:r>
      <w:r w:rsidR="00701C18">
        <w:rPr>
          <w:rFonts w:ascii="Times New Roman" w:hAnsi="Times New Roman" w:cs="Times New Roman"/>
        </w:rPr>
        <w:t>.</w:t>
      </w:r>
      <w:r w:rsidR="003575AD">
        <w:rPr>
          <w:rStyle w:val="FootnoteReference"/>
          <w:rFonts w:ascii="Times New Roman" w:hAnsi="Times New Roman" w:cs="Times New Roman"/>
        </w:rPr>
        <w:footnoteReference w:id="59"/>
      </w:r>
      <w:r w:rsidR="00E672C6" w:rsidRPr="003575AD">
        <w:rPr>
          <w:rFonts w:ascii="Times New Roman" w:hAnsi="Times New Roman" w:cs="Times New Roman"/>
        </w:rPr>
        <w:t xml:space="preserve"> </w:t>
      </w:r>
    </w:p>
    <w:p w14:paraId="7A0798CA" w14:textId="234DD68C" w:rsidR="00E672C6" w:rsidRPr="00E672C6" w:rsidRDefault="00E672C6" w:rsidP="0096648D">
      <w:pPr>
        <w:widowControl w:val="0"/>
        <w:numPr>
          <w:ilvl w:val="1"/>
          <w:numId w:val="47"/>
        </w:numPr>
        <w:spacing w:after="240" w:line="240" w:lineRule="auto"/>
        <w:ind w:left="1080"/>
        <w:rPr>
          <w:rFonts w:ascii="Times New Roman" w:hAnsi="Times New Roman" w:cs="Times New Roman"/>
        </w:rPr>
      </w:pPr>
      <w:r w:rsidRPr="00E672C6">
        <w:rPr>
          <w:rFonts w:ascii="Times New Roman" w:hAnsi="Times New Roman" w:cs="Times New Roman"/>
        </w:rPr>
        <w:t>A foreign corporate shareholder add</w:t>
      </w:r>
      <w:r w:rsidR="00701C18">
        <w:rPr>
          <w:rFonts w:ascii="Times New Roman" w:hAnsi="Times New Roman" w:cs="Times New Roman"/>
        </w:rPr>
        <w:t>s</w:t>
      </w:r>
      <w:r w:rsidRPr="00E672C6">
        <w:rPr>
          <w:rFonts w:ascii="Times New Roman" w:hAnsi="Times New Roman" w:cs="Times New Roman"/>
        </w:rPr>
        <w:t xml:space="preserve"> to its E&amp;P or deficit the 1248(c)(2) amount of the foreign corporation</w:t>
      </w:r>
      <w:r w:rsidR="003575AD">
        <w:rPr>
          <w:rFonts w:ascii="Times New Roman" w:hAnsi="Times New Roman" w:cs="Times New Roman"/>
        </w:rPr>
        <w:t>.</w:t>
      </w:r>
      <w:r w:rsidR="003575AD">
        <w:rPr>
          <w:rStyle w:val="FootnoteReference"/>
          <w:rFonts w:ascii="Times New Roman" w:hAnsi="Times New Roman" w:cs="Times New Roman"/>
        </w:rPr>
        <w:footnoteReference w:id="60"/>
      </w:r>
    </w:p>
    <w:p w14:paraId="16DC9820" w14:textId="392EE3BB" w:rsidR="00B665FE" w:rsidRPr="00B665FE" w:rsidRDefault="00642DA2" w:rsidP="0096648D">
      <w:pPr>
        <w:widowControl w:val="0"/>
        <w:numPr>
          <w:ilvl w:val="0"/>
          <w:numId w:val="47"/>
        </w:numPr>
        <w:spacing w:after="240" w:line="240" w:lineRule="auto"/>
        <w:rPr>
          <w:rFonts w:ascii="Times New Roman" w:hAnsi="Times New Roman" w:cs="Times New Roman"/>
        </w:rPr>
      </w:pPr>
      <w:r>
        <w:rPr>
          <w:rFonts w:ascii="Times New Roman" w:hAnsi="Times New Roman" w:cs="Times New Roman"/>
        </w:rPr>
        <w:t>If a</w:t>
      </w:r>
      <w:r w:rsidRPr="00E672C6">
        <w:rPr>
          <w:rFonts w:ascii="Times New Roman" w:hAnsi="Times New Roman" w:cs="Times New Roman"/>
        </w:rPr>
        <w:t xml:space="preserve"> </w:t>
      </w:r>
      <w:r w:rsidR="00E672C6" w:rsidRPr="00E672C6">
        <w:rPr>
          <w:rFonts w:ascii="Times New Roman" w:hAnsi="Times New Roman" w:cs="Times New Roman"/>
        </w:rPr>
        <w:t>foreign corporation acquires the assets or stock of a foreign corporation in a</w:t>
      </w:r>
      <w:r w:rsidR="00061FA5">
        <w:rPr>
          <w:rFonts w:ascii="Times New Roman" w:hAnsi="Times New Roman" w:cs="Times New Roman"/>
        </w:rPr>
        <w:t xml:space="preserve"> f</w:t>
      </w:r>
      <w:r w:rsidR="00061FA5" w:rsidRPr="00061FA5">
        <w:rPr>
          <w:rFonts w:ascii="Times New Roman" w:hAnsi="Times New Roman" w:cs="Times New Roman"/>
        </w:rPr>
        <w:t>oreign-to-foreign reorganization</w:t>
      </w:r>
      <w:r w:rsidR="00B665FE">
        <w:rPr>
          <w:rFonts w:ascii="Times New Roman" w:hAnsi="Times New Roman" w:cs="Times New Roman"/>
        </w:rPr>
        <w:t>—</w:t>
      </w:r>
    </w:p>
    <w:p w14:paraId="358A8061" w14:textId="6AC32365" w:rsidR="00E672C6" w:rsidRPr="00E672C6" w:rsidRDefault="00E672C6" w:rsidP="0096648D">
      <w:pPr>
        <w:widowControl w:val="0"/>
        <w:numPr>
          <w:ilvl w:val="1"/>
          <w:numId w:val="47"/>
        </w:numPr>
        <w:spacing w:after="240" w:line="240" w:lineRule="auto"/>
        <w:ind w:left="1080"/>
        <w:rPr>
          <w:rFonts w:ascii="Times New Roman" w:hAnsi="Times New Roman" w:cs="Times New Roman"/>
        </w:rPr>
      </w:pPr>
      <w:r w:rsidRPr="00E672C6">
        <w:rPr>
          <w:rFonts w:ascii="Times New Roman" w:hAnsi="Times New Roman" w:cs="Times New Roman"/>
        </w:rPr>
        <w:t>A 1248 shareholder that receives stock of a foreign corporation which is not a CFC or stock of a CFC as to which the 1248 shareholder is not a 1248 shareholder include</w:t>
      </w:r>
      <w:r w:rsidR="00061FA5">
        <w:rPr>
          <w:rFonts w:ascii="Times New Roman" w:hAnsi="Times New Roman" w:cs="Times New Roman"/>
        </w:rPr>
        <w:t>s</w:t>
      </w:r>
      <w:r w:rsidRPr="00E672C6">
        <w:rPr>
          <w:rFonts w:ascii="Times New Roman" w:hAnsi="Times New Roman" w:cs="Times New Roman"/>
        </w:rPr>
        <w:t xml:space="preserve"> in income the 1248 amount with respect to its stock of the foreign acquired corporation</w:t>
      </w:r>
      <w:r w:rsidR="00061FA5">
        <w:rPr>
          <w:rFonts w:ascii="Times New Roman" w:hAnsi="Times New Roman" w:cs="Times New Roman"/>
        </w:rPr>
        <w:t>.</w:t>
      </w:r>
      <w:r w:rsidR="00061FA5">
        <w:rPr>
          <w:rStyle w:val="FootnoteReference"/>
          <w:rFonts w:ascii="Times New Roman" w:hAnsi="Times New Roman" w:cs="Times New Roman"/>
        </w:rPr>
        <w:footnoteReference w:id="61"/>
      </w:r>
    </w:p>
    <w:p w14:paraId="1D6BE7CD" w14:textId="691E2430" w:rsidR="00E672C6" w:rsidRDefault="00E672C6" w:rsidP="0096648D">
      <w:pPr>
        <w:widowControl w:val="0"/>
        <w:numPr>
          <w:ilvl w:val="1"/>
          <w:numId w:val="47"/>
        </w:numPr>
        <w:spacing w:after="240" w:line="240" w:lineRule="auto"/>
        <w:ind w:left="1080"/>
        <w:rPr>
          <w:rFonts w:ascii="Times New Roman" w:hAnsi="Times New Roman" w:cs="Times New Roman"/>
        </w:rPr>
      </w:pPr>
      <w:r w:rsidRPr="00E672C6">
        <w:rPr>
          <w:rFonts w:ascii="Times New Roman" w:hAnsi="Times New Roman" w:cs="Times New Roman"/>
        </w:rPr>
        <w:t xml:space="preserve">A foreign corporate shareholder that receives stock of a foreign corporation which is not a </w:t>
      </w:r>
      <w:r w:rsidRPr="00E672C6">
        <w:rPr>
          <w:rFonts w:ascii="Times New Roman" w:hAnsi="Times New Roman" w:cs="Times New Roman"/>
        </w:rPr>
        <w:lastRenderedPageBreak/>
        <w:t>CFC or stock of a CFC with respect to which a 1248 shareholder of the foreign corporate shareholder is not a 1248 shareholder add</w:t>
      </w:r>
      <w:r w:rsidR="009106E6">
        <w:rPr>
          <w:rFonts w:ascii="Times New Roman" w:hAnsi="Times New Roman" w:cs="Times New Roman"/>
        </w:rPr>
        <w:t>s</w:t>
      </w:r>
      <w:r w:rsidRPr="00E672C6">
        <w:rPr>
          <w:rFonts w:ascii="Times New Roman" w:hAnsi="Times New Roman" w:cs="Times New Roman"/>
        </w:rPr>
        <w:t xml:space="preserve"> to its E&amp;P or deficit the 1248(c)(2) amount of the foreign acquired corporation</w:t>
      </w:r>
      <w:r w:rsidR="00061FA5">
        <w:rPr>
          <w:rFonts w:ascii="Times New Roman" w:hAnsi="Times New Roman" w:cs="Times New Roman"/>
        </w:rPr>
        <w:t>.</w:t>
      </w:r>
      <w:r w:rsidR="00061FA5">
        <w:rPr>
          <w:rStyle w:val="FootnoteReference"/>
          <w:rFonts w:ascii="Times New Roman" w:hAnsi="Times New Roman" w:cs="Times New Roman"/>
        </w:rPr>
        <w:footnoteReference w:id="62"/>
      </w:r>
    </w:p>
    <w:p w14:paraId="44457094" w14:textId="6AD4EE0F" w:rsidR="00061FA5" w:rsidRPr="00E672C6" w:rsidRDefault="00871943" w:rsidP="0096648D">
      <w:pPr>
        <w:widowControl w:val="0"/>
        <w:spacing w:after="240" w:line="240" w:lineRule="auto"/>
        <w:rPr>
          <w:rFonts w:ascii="Times New Roman" w:hAnsi="Times New Roman" w:cs="Times New Roman"/>
        </w:rPr>
      </w:pPr>
      <w:r>
        <w:rPr>
          <w:rFonts w:ascii="Times New Roman" w:hAnsi="Times New Roman" w:cs="Times New Roman"/>
        </w:rPr>
        <w:t>The most significant changes in the temporary regulations from the guidelines were (1) the reduction</w:t>
      </w:r>
      <w:r w:rsidR="00951C94">
        <w:rPr>
          <w:rFonts w:ascii="Times New Roman" w:hAnsi="Times New Roman" w:cs="Times New Roman"/>
        </w:rPr>
        <w:t xml:space="preserve"> to a </w:t>
      </w:r>
      <w:r w:rsidR="001A0BC7">
        <w:rPr>
          <w:rFonts w:ascii="Times New Roman" w:hAnsi="Times New Roman" w:cs="Times New Roman"/>
        </w:rPr>
        <w:t>ten</w:t>
      </w:r>
      <w:r w:rsidR="001477B0">
        <w:rPr>
          <w:rFonts w:ascii="Times New Roman" w:hAnsi="Times New Roman" w:cs="Times New Roman"/>
        </w:rPr>
        <w:t xml:space="preserve"> </w:t>
      </w:r>
      <w:r w:rsidR="00951C94">
        <w:rPr>
          <w:rFonts w:ascii="Times New Roman" w:hAnsi="Times New Roman" w:cs="Times New Roman"/>
        </w:rPr>
        <w:t xml:space="preserve">percent threshold for corporate 1248 shareholders </w:t>
      </w:r>
      <w:r w:rsidR="00722DDC">
        <w:rPr>
          <w:rFonts w:ascii="Times New Roman" w:hAnsi="Times New Roman" w:cs="Times New Roman"/>
        </w:rPr>
        <w:t xml:space="preserve">to be required to include in gross income the </w:t>
      </w:r>
      <w:r w:rsidR="00475567">
        <w:rPr>
          <w:rFonts w:ascii="Times New Roman" w:hAnsi="Times New Roman" w:cs="Times New Roman"/>
        </w:rPr>
        <w:t>all E&amp;P amount</w:t>
      </w:r>
      <w:r w:rsidR="00722DDC">
        <w:rPr>
          <w:rFonts w:ascii="Times New Roman" w:hAnsi="Times New Roman" w:cs="Times New Roman"/>
        </w:rPr>
        <w:t xml:space="preserve"> with respect their stock in a foreign acquired corporation</w:t>
      </w:r>
      <w:r w:rsidR="00866AC5">
        <w:rPr>
          <w:rFonts w:ascii="Times New Roman" w:hAnsi="Times New Roman" w:cs="Times New Roman"/>
        </w:rPr>
        <w:t xml:space="preserve"> in an inbound asset reorganization</w:t>
      </w:r>
      <w:r w:rsidR="00722DDC">
        <w:rPr>
          <w:rFonts w:ascii="Times New Roman" w:hAnsi="Times New Roman" w:cs="Times New Roman"/>
        </w:rPr>
        <w:t xml:space="preserve">, (2) </w:t>
      </w:r>
      <w:r w:rsidR="00675CA6">
        <w:rPr>
          <w:rFonts w:ascii="Times New Roman" w:hAnsi="Times New Roman" w:cs="Times New Roman"/>
        </w:rPr>
        <w:t xml:space="preserve">the inclusion of </w:t>
      </w:r>
      <w:r w:rsidR="009006FF">
        <w:rPr>
          <w:rFonts w:ascii="Times New Roman" w:hAnsi="Times New Roman" w:cs="Times New Roman"/>
        </w:rPr>
        <w:t xml:space="preserve">E&amp;P of foreign subsidiaries in the 1248 amount recognized by a non-corporate 1248 shareholder </w:t>
      </w:r>
      <w:r w:rsidR="00866AC5">
        <w:rPr>
          <w:rFonts w:ascii="Times New Roman" w:hAnsi="Times New Roman" w:cs="Times New Roman"/>
        </w:rPr>
        <w:t xml:space="preserve">in an inbound asset reorganization, and (3) </w:t>
      </w:r>
      <w:r w:rsidR="000F2BC7">
        <w:rPr>
          <w:rFonts w:ascii="Times New Roman" w:hAnsi="Times New Roman" w:cs="Times New Roman"/>
        </w:rPr>
        <w:t xml:space="preserve">the requirement that </w:t>
      </w:r>
      <w:r w:rsidR="00033C37">
        <w:rPr>
          <w:rFonts w:ascii="Times New Roman" w:hAnsi="Times New Roman" w:cs="Times New Roman"/>
        </w:rPr>
        <w:t xml:space="preserve">1248 shareholders include </w:t>
      </w:r>
      <w:r w:rsidR="00AA2A0B">
        <w:rPr>
          <w:rFonts w:ascii="Times New Roman" w:hAnsi="Times New Roman" w:cs="Times New Roman"/>
        </w:rPr>
        <w:t xml:space="preserve">in gross income the 1248 amount with respect to their stock in a foreign acquired corporation in an inbound stock reorganization. </w:t>
      </w:r>
      <w:r w:rsidR="00061FA5">
        <w:rPr>
          <w:rFonts w:ascii="Times New Roman" w:hAnsi="Times New Roman" w:cs="Times New Roman"/>
        </w:rPr>
        <w:t>The preamble to the temporary regulations</w:t>
      </w:r>
      <w:r w:rsidR="00AA2A0B">
        <w:rPr>
          <w:rFonts w:ascii="Times New Roman" w:hAnsi="Times New Roman" w:cs="Times New Roman"/>
        </w:rPr>
        <w:t xml:space="preserve"> </w:t>
      </w:r>
      <w:r w:rsidR="00061FA5">
        <w:rPr>
          <w:rFonts w:ascii="Times New Roman" w:hAnsi="Times New Roman" w:cs="Times New Roman"/>
        </w:rPr>
        <w:t xml:space="preserve">did not elaborate on the policy or principles that informed </w:t>
      </w:r>
      <w:r w:rsidR="00AA2A0B">
        <w:rPr>
          <w:rFonts w:ascii="Times New Roman" w:hAnsi="Times New Roman" w:cs="Times New Roman"/>
        </w:rPr>
        <w:t>these modifications.</w:t>
      </w:r>
      <w:r>
        <w:rPr>
          <w:rFonts w:ascii="Times New Roman" w:hAnsi="Times New Roman" w:cs="Times New Roman"/>
        </w:rPr>
        <w:t xml:space="preserve"> </w:t>
      </w:r>
    </w:p>
    <w:p w14:paraId="23B8E5B7" w14:textId="05BDA52C" w:rsidR="00C703A0" w:rsidRPr="004F5F76" w:rsidRDefault="00C703A0" w:rsidP="0096648D">
      <w:pPr>
        <w:pStyle w:val="Heading3"/>
        <w:keepNext w:val="0"/>
        <w:keepLines w:val="0"/>
        <w:widowControl w:val="0"/>
      </w:pPr>
      <w:r w:rsidRPr="00C703A0">
        <w:t xml:space="preserve">Proposed Regulations </w:t>
      </w:r>
    </w:p>
    <w:p w14:paraId="532F1B8A" w14:textId="7696E260" w:rsidR="00646ECD" w:rsidRDefault="00ED71A3" w:rsidP="0096648D">
      <w:pPr>
        <w:widowControl w:val="0"/>
        <w:spacing w:after="240" w:line="240" w:lineRule="auto"/>
        <w:rPr>
          <w:rFonts w:ascii="Times New Roman" w:hAnsi="Times New Roman" w:cs="Times New Roman"/>
        </w:rPr>
      </w:pPr>
      <w:r>
        <w:rPr>
          <w:rFonts w:ascii="Times New Roman" w:hAnsi="Times New Roman" w:cs="Times New Roman"/>
        </w:rPr>
        <w:t xml:space="preserve">In 1991, </w:t>
      </w:r>
      <w:r w:rsidR="002F6B5A">
        <w:rPr>
          <w:rFonts w:ascii="Times New Roman" w:hAnsi="Times New Roman" w:cs="Times New Roman"/>
        </w:rPr>
        <w:t>Treasury and the IRS issued proposed regulations</w:t>
      </w:r>
      <w:r w:rsidR="00A552B4">
        <w:rPr>
          <w:rFonts w:ascii="Times New Roman" w:hAnsi="Times New Roman" w:cs="Times New Roman"/>
        </w:rPr>
        <w:t xml:space="preserve"> (the “</w:t>
      </w:r>
      <w:r w:rsidR="00A552B4" w:rsidRPr="00A552B4">
        <w:rPr>
          <w:rFonts w:ascii="Times New Roman" w:hAnsi="Times New Roman" w:cs="Times New Roman"/>
          <w:b/>
          <w:bCs/>
        </w:rPr>
        <w:t>proposed regulations</w:t>
      </w:r>
      <w:r w:rsidR="00A552B4">
        <w:rPr>
          <w:rFonts w:ascii="Times New Roman" w:hAnsi="Times New Roman" w:cs="Times New Roman"/>
        </w:rPr>
        <w:t>”) and</w:t>
      </w:r>
      <w:r w:rsidR="002F6B5A">
        <w:rPr>
          <w:rFonts w:ascii="Times New Roman" w:hAnsi="Times New Roman" w:cs="Times New Roman"/>
        </w:rPr>
        <w:t xml:space="preserve"> </w:t>
      </w:r>
      <w:r w:rsidR="006E62B3">
        <w:rPr>
          <w:rFonts w:ascii="Times New Roman" w:hAnsi="Times New Roman" w:cs="Times New Roman"/>
        </w:rPr>
        <w:t>remov</w:t>
      </w:r>
      <w:r w:rsidR="00A552B4">
        <w:rPr>
          <w:rFonts w:ascii="Times New Roman" w:hAnsi="Times New Roman" w:cs="Times New Roman"/>
        </w:rPr>
        <w:t>ed</w:t>
      </w:r>
      <w:r w:rsidR="006E62B3">
        <w:rPr>
          <w:rFonts w:ascii="Times New Roman" w:hAnsi="Times New Roman" w:cs="Times New Roman"/>
        </w:rPr>
        <w:t xml:space="preserve"> </w:t>
      </w:r>
      <w:r w:rsidR="00606198">
        <w:rPr>
          <w:rFonts w:ascii="Times New Roman" w:hAnsi="Times New Roman" w:cs="Times New Roman"/>
        </w:rPr>
        <w:t>substantially all of the 1977 temporary regulations</w:t>
      </w:r>
      <w:r w:rsidR="00A552B4">
        <w:rPr>
          <w:rFonts w:ascii="Times New Roman" w:hAnsi="Times New Roman" w:cs="Times New Roman"/>
        </w:rPr>
        <w:t>.</w:t>
      </w:r>
      <w:r w:rsidR="007F0ACE">
        <w:rPr>
          <w:rStyle w:val="FootnoteReference"/>
          <w:rFonts w:ascii="Times New Roman" w:hAnsi="Times New Roman" w:cs="Times New Roman"/>
        </w:rPr>
        <w:footnoteReference w:id="63"/>
      </w:r>
      <w:r w:rsidR="00733263">
        <w:rPr>
          <w:rFonts w:ascii="Times New Roman" w:hAnsi="Times New Roman" w:cs="Times New Roman"/>
        </w:rPr>
        <w:t xml:space="preserve"> </w:t>
      </w:r>
      <w:r w:rsidR="00E55FED">
        <w:rPr>
          <w:rFonts w:ascii="Times New Roman" w:hAnsi="Times New Roman" w:cs="Times New Roman"/>
        </w:rPr>
        <w:t xml:space="preserve">Unlike the </w:t>
      </w:r>
      <w:r w:rsidR="00095747">
        <w:rPr>
          <w:rFonts w:ascii="Times New Roman" w:hAnsi="Times New Roman" w:cs="Times New Roman"/>
        </w:rPr>
        <w:t xml:space="preserve">guidelines and the </w:t>
      </w:r>
      <w:r w:rsidR="00F55ACA" w:rsidRPr="00A93728">
        <w:rPr>
          <w:rFonts w:ascii="Times New Roman" w:hAnsi="Times New Roman" w:cs="Times New Roman"/>
        </w:rPr>
        <w:t xml:space="preserve">preamble to the </w:t>
      </w:r>
      <w:r w:rsidR="00E55FED">
        <w:rPr>
          <w:rFonts w:ascii="Times New Roman" w:hAnsi="Times New Roman" w:cs="Times New Roman"/>
        </w:rPr>
        <w:t xml:space="preserve">temporary </w:t>
      </w:r>
      <w:r w:rsidR="00233542">
        <w:rPr>
          <w:rFonts w:ascii="Times New Roman" w:hAnsi="Times New Roman" w:cs="Times New Roman"/>
        </w:rPr>
        <w:t>regulations</w:t>
      </w:r>
      <w:r w:rsidR="00E55FED">
        <w:rPr>
          <w:rFonts w:ascii="Times New Roman" w:hAnsi="Times New Roman" w:cs="Times New Roman"/>
        </w:rPr>
        <w:t>, t</w:t>
      </w:r>
      <w:r w:rsidR="000831A2" w:rsidRPr="00A93728">
        <w:rPr>
          <w:rFonts w:ascii="Times New Roman" w:hAnsi="Times New Roman" w:cs="Times New Roman"/>
        </w:rPr>
        <w:t xml:space="preserve">he </w:t>
      </w:r>
      <w:r w:rsidR="00F55ACA" w:rsidRPr="00A93728">
        <w:rPr>
          <w:rFonts w:ascii="Times New Roman" w:hAnsi="Times New Roman" w:cs="Times New Roman"/>
        </w:rPr>
        <w:t xml:space="preserve">preamble to the proposed regulations </w:t>
      </w:r>
      <w:r w:rsidR="009E1A28">
        <w:rPr>
          <w:rFonts w:ascii="Times New Roman" w:hAnsi="Times New Roman" w:cs="Times New Roman"/>
        </w:rPr>
        <w:t xml:space="preserve">articulated </w:t>
      </w:r>
      <w:r w:rsidR="00095747">
        <w:rPr>
          <w:rFonts w:ascii="Times New Roman" w:hAnsi="Times New Roman" w:cs="Times New Roman"/>
        </w:rPr>
        <w:t xml:space="preserve">the </w:t>
      </w:r>
      <w:r w:rsidR="00F55ACA" w:rsidRPr="00A93728">
        <w:rPr>
          <w:rFonts w:ascii="Times New Roman" w:hAnsi="Times New Roman" w:cs="Times New Roman"/>
        </w:rPr>
        <w:t xml:space="preserve">principles </w:t>
      </w:r>
      <w:r w:rsidR="009B5B38">
        <w:rPr>
          <w:rFonts w:ascii="Times New Roman" w:hAnsi="Times New Roman" w:cs="Times New Roman"/>
        </w:rPr>
        <w:t xml:space="preserve">of </w:t>
      </w:r>
      <w:r w:rsidR="00233542">
        <w:rPr>
          <w:rFonts w:ascii="Times New Roman" w:hAnsi="Times New Roman" w:cs="Times New Roman"/>
        </w:rPr>
        <w:t>Code Sec.</w:t>
      </w:r>
      <w:r w:rsidR="009B5B38">
        <w:rPr>
          <w:rFonts w:ascii="Times New Roman" w:hAnsi="Times New Roman" w:cs="Times New Roman"/>
        </w:rPr>
        <w:t xml:space="preserve"> 367(b) </w:t>
      </w:r>
      <w:r w:rsidR="00F55ACA" w:rsidRPr="00A93728">
        <w:rPr>
          <w:rFonts w:ascii="Times New Roman" w:hAnsi="Times New Roman" w:cs="Times New Roman"/>
        </w:rPr>
        <w:t xml:space="preserve">taken into account in </w:t>
      </w:r>
      <w:r w:rsidR="009B5B38">
        <w:rPr>
          <w:rFonts w:ascii="Times New Roman" w:hAnsi="Times New Roman" w:cs="Times New Roman"/>
        </w:rPr>
        <w:t xml:space="preserve">the </w:t>
      </w:r>
      <w:r w:rsidR="00F55ACA" w:rsidRPr="00A93728">
        <w:rPr>
          <w:rFonts w:ascii="Times New Roman" w:hAnsi="Times New Roman" w:cs="Times New Roman"/>
        </w:rPr>
        <w:t xml:space="preserve">development of the </w:t>
      </w:r>
      <w:r w:rsidR="009B5B38">
        <w:rPr>
          <w:rFonts w:ascii="Times New Roman" w:hAnsi="Times New Roman" w:cs="Times New Roman"/>
        </w:rPr>
        <w:t xml:space="preserve">proposed </w:t>
      </w:r>
      <w:r w:rsidR="00F55ACA" w:rsidRPr="00A93728">
        <w:rPr>
          <w:rFonts w:ascii="Times New Roman" w:hAnsi="Times New Roman" w:cs="Times New Roman"/>
        </w:rPr>
        <w:t xml:space="preserve">regulations. </w:t>
      </w:r>
      <w:r w:rsidR="00095747">
        <w:rPr>
          <w:rFonts w:ascii="Times New Roman" w:hAnsi="Times New Roman" w:cs="Times New Roman"/>
        </w:rPr>
        <w:t>The preamble identified four</w:t>
      </w:r>
      <w:r w:rsidR="002C07F1">
        <w:rPr>
          <w:rFonts w:ascii="Times New Roman" w:hAnsi="Times New Roman" w:cs="Times New Roman"/>
        </w:rPr>
        <w:t xml:space="preserve"> principles</w:t>
      </w:r>
      <w:r w:rsidR="00095747">
        <w:rPr>
          <w:rFonts w:ascii="Times New Roman" w:hAnsi="Times New Roman" w:cs="Times New Roman"/>
        </w:rPr>
        <w:t>:</w:t>
      </w:r>
      <w:r w:rsidR="00F55ACA" w:rsidRPr="00A93728">
        <w:rPr>
          <w:rFonts w:ascii="Times New Roman" w:hAnsi="Times New Roman" w:cs="Times New Roman"/>
        </w:rPr>
        <w:t xml:space="preserve"> (1) the prevention of the repatriation of earnings or basis without tax</w:t>
      </w:r>
      <w:r w:rsidR="00E93A99">
        <w:rPr>
          <w:rFonts w:ascii="Times New Roman" w:hAnsi="Times New Roman" w:cs="Times New Roman"/>
        </w:rPr>
        <w:t xml:space="preserve"> (the “</w:t>
      </w:r>
      <w:r w:rsidR="00E93A99">
        <w:rPr>
          <w:rFonts w:ascii="Times New Roman" w:hAnsi="Times New Roman" w:cs="Times New Roman"/>
          <w:b/>
          <w:bCs/>
        </w:rPr>
        <w:t>repatriation principle</w:t>
      </w:r>
      <w:r w:rsidR="00E93A99">
        <w:rPr>
          <w:rFonts w:ascii="Times New Roman" w:hAnsi="Times New Roman" w:cs="Times New Roman"/>
        </w:rPr>
        <w:t>”)</w:t>
      </w:r>
      <w:r w:rsidR="00F55ACA" w:rsidRPr="00A93728">
        <w:rPr>
          <w:rFonts w:ascii="Times New Roman" w:hAnsi="Times New Roman" w:cs="Times New Roman"/>
        </w:rPr>
        <w:t xml:space="preserve">; (2) </w:t>
      </w:r>
      <w:r w:rsidR="00095747">
        <w:rPr>
          <w:rFonts w:ascii="Times New Roman" w:hAnsi="Times New Roman" w:cs="Times New Roman"/>
        </w:rPr>
        <w:t xml:space="preserve">the </w:t>
      </w:r>
      <w:r w:rsidR="00F55ACA" w:rsidRPr="00A93728">
        <w:rPr>
          <w:rFonts w:ascii="Times New Roman" w:hAnsi="Times New Roman" w:cs="Times New Roman"/>
        </w:rPr>
        <w:t>prevention of material distortion in income</w:t>
      </w:r>
      <w:r w:rsidR="00E93A99">
        <w:rPr>
          <w:rFonts w:ascii="Times New Roman" w:hAnsi="Times New Roman" w:cs="Times New Roman"/>
        </w:rPr>
        <w:t xml:space="preserve"> (the “</w:t>
      </w:r>
      <w:r w:rsidR="00E93A99">
        <w:rPr>
          <w:rFonts w:ascii="Times New Roman" w:hAnsi="Times New Roman" w:cs="Times New Roman"/>
          <w:b/>
          <w:bCs/>
        </w:rPr>
        <w:t>distortion principle</w:t>
      </w:r>
      <w:r w:rsidR="00E93A99">
        <w:rPr>
          <w:rFonts w:ascii="Times New Roman" w:hAnsi="Times New Roman" w:cs="Times New Roman"/>
        </w:rPr>
        <w:t>”)</w:t>
      </w:r>
      <w:r w:rsidR="00F55ACA" w:rsidRPr="00A93728">
        <w:rPr>
          <w:rFonts w:ascii="Times New Roman" w:hAnsi="Times New Roman" w:cs="Times New Roman"/>
        </w:rPr>
        <w:t xml:space="preserve">; (3) </w:t>
      </w:r>
      <w:r w:rsidR="00095747">
        <w:rPr>
          <w:rFonts w:ascii="Times New Roman" w:hAnsi="Times New Roman" w:cs="Times New Roman"/>
        </w:rPr>
        <w:t xml:space="preserve">the </w:t>
      </w:r>
      <w:r w:rsidR="00F55ACA" w:rsidRPr="00A93728">
        <w:rPr>
          <w:rFonts w:ascii="Times New Roman" w:hAnsi="Times New Roman" w:cs="Times New Roman"/>
        </w:rPr>
        <w:t>minimization of complexity</w:t>
      </w:r>
      <w:r w:rsidR="00E93A99">
        <w:rPr>
          <w:rFonts w:ascii="Times New Roman" w:hAnsi="Times New Roman" w:cs="Times New Roman"/>
        </w:rPr>
        <w:t xml:space="preserve"> (the “</w:t>
      </w:r>
      <w:r w:rsidR="00E93A99">
        <w:rPr>
          <w:rFonts w:ascii="Times New Roman" w:hAnsi="Times New Roman" w:cs="Times New Roman"/>
          <w:b/>
          <w:bCs/>
        </w:rPr>
        <w:t>complexity principle</w:t>
      </w:r>
      <w:r w:rsidR="00E93A99">
        <w:rPr>
          <w:rFonts w:ascii="Times New Roman" w:hAnsi="Times New Roman" w:cs="Times New Roman"/>
        </w:rPr>
        <w:t>”)</w:t>
      </w:r>
      <w:r w:rsidR="00F55ACA" w:rsidRPr="00A93728">
        <w:rPr>
          <w:rFonts w:ascii="Times New Roman" w:hAnsi="Times New Roman" w:cs="Times New Roman"/>
        </w:rPr>
        <w:t>; and (4) the permissibility of deferral</w:t>
      </w:r>
      <w:r w:rsidR="00E93A99">
        <w:rPr>
          <w:rFonts w:ascii="Times New Roman" w:hAnsi="Times New Roman" w:cs="Times New Roman"/>
        </w:rPr>
        <w:t xml:space="preserve"> (the “</w:t>
      </w:r>
      <w:r w:rsidR="00E93A99">
        <w:rPr>
          <w:rFonts w:ascii="Times New Roman" w:hAnsi="Times New Roman" w:cs="Times New Roman"/>
          <w:b/>
          <w:bCs/>
        </w:rPr>
        <w:t>deferral principle</w:t>
      </w:r>
      <w:r w:rsidR="00E93A99">
        <w:rPr>
          <w:rFonts w:ascii="Times New Roman" w:hAnsi="Times New Roman" w:cs="Times New Roman"/>
        </w:rPr>
        <w:t>”)</w:t>
      </w:r>
      <w:r w:rsidR="00F55ACA" w:rsidRPr="00A93728">
        <w:rPr>
          <w:rFonts w:ascii="Times New Roman" w:hAnsi="Times New Roman" w:cs="Times New Roman"/>
        </w:rPr>
        <w:t xml:space="preserve">. </w:t>
      </w:r>
      <w:r w:rsidR="004D12F1">
        <w:rPr>
          <w:rFonts w:ascii="Times New Roman" w:hAnsi="Times New Roman" w:cs="Times New Roman"/>
        </w:rPr>
        <w:t>The</w:t>
      </w:r>
      <w:r w:rsidR="00EA02FE">
        <w:rPr>
          <w:rFonts w:ascii="Times New Roman" w:hAnsi="Times New Roman" w:cs="Times New Roman"/>
        </w:rPr>
        <w:t>se</w:t>
      </w:r>
      <w:r w:rsidR="004D12F1">
        <w:rPr>
          <w:rFonts w:ascii="Times New Roman" w:hAnsi="Times New Roman" w:cs="Times New Roman"/>
        </w:rPr>
        <w:t xml:space="preserve"> principles </w:t>
      </w:r>
      <w:r w:rsidR="006D456F">
        <w:rPr>
          <w:rFonts w:ascii="Times New Roman" w:hAnsi="Times New Roman" w:cs="Times New Roman"/>
        </w:rPr>
        <w:t xml:space="preserve">informed subsequent </w:t>
      </w:r>
      <w:r w:rsidR="00D92F86">
        <w:rPr>
          <w:rFonts w:ascii="Times New Roman" w:hAnsi="Times New Roman" w:cs="Times New Roman"/>
        </w:rPr>
        <w:t>issuances of regulations under Code Sec. 367(b)</w:t>
      </w:r>
      <w:r w:rsidR="004022EB">
        <w:rPr>
          <w:rFonts w:ascii="Times New Roman" w:hAnsi="Times New Roman" w:cs="Times New Roman"/>
        </w:rPr>
        <w:t>, including the final regulations issued in 200</w:t>
      </w:r>
      <w:r w:rsidR="00874F21">
        <w:rPr>
          <w:rFonts w:ascii="Times New Roman" w:hAnsi="Times New Roman" w:cs="Times New Roman"/>
        </w:rPr>
        <w:t>0</w:t>
      </w:r>
      <w:r w:rsidR="00643CB3">
        <w:rPr>
          <w:rFonts w:ascii="Times New Roman" w:hAnsi="Times New Roman" w:cs="Times New Roman"/>
        </w:rPr>
        <w:t xml:space="preserve"> (the “</w:t>
      </w:r>
      <w:r w:rsidR="00643CB3" w:rsidRPr="00EE2C34">
        <w:rPr>
          <w:rFonts w:ascii="Times New Roman" w:hAnsi="Times New Roman" w:cs="Times New Roman"/>
          <w:b/>
          <w:bCs/>
        </w:rPr>
        <w:t>final regulations</w:t>
      </w:r>
      <w:r w:rsidR="00643CB3">
        <w:rPr>
          <w:rFonts w:ascii="Times New Roman" w:hAnsi="Times New Roman" w:cs="Times New Roman"/>
        </w:rPr>
        <w:t>”)</w:t>
      </w:r>
      <w:r w:rsidR="004022EB">
        <w:rPr>
          <w:rFonts w:ascii="Times New Roman" w:hAnsi="Times New Roman" w:cs="Times New Roman"/>
        </w:rPr>
        <w:t>,</w:t>
      </w:r>
      <w:r w:rsidR="007F0ACE">
        <w:rPr>
          <w:rStyle w:val="FootnoteReference"/>
          <w:rFonts w:ascii="Times New Roman" w:hAnsi="Times New Roman" w:cs="Times New Roman"/>
        </w:rPr>
        <w:footnoteReference w:id="64"/>
      </w:r>
      <w:r w:rsidR="007F0ACE">
        <w:rPr>
          <w:rFonts w:ascii="Times New Roman" w:hAnsi="Times New Roman" w:cs="Times New Roman"/>
        </w:rPr>
        <w:t xml:space="preserve"> </w:t>
      </w:r>
      <w:r w:rsidR="00874F21">
        <w:rPr>
          <w:rFonts w:ascii="Times New Roman" w:hAnsi="Times New Roman" w:cs="Times New Roman"/>
        </w:rPr>
        <w:t xml:space="preserve">the preamble to which </w:t>
      </w:r>
      <w:r w:rsidR="004022EB">
        <w:rPr>
          <w:rFonts w:ascii="Times New Roman" w:hAnsi="Times New Roman" w:cs="Times New Roman"/>
        </w:rPr>
        <w:t xml:space="preserve">further </w:t>
      </w:r>
      <w:r w:rsidR="00733263">
        <w:rPr>
          <w:rFonts w:ascii="Times New Roman" w:hAnsi="Times New Roman" w:cs="Times New Roman"/>
        </w:rPr>
        <w:t xml:space="preserve">elaborated on </w:t>
      </w:r>
      <w:r w:rsidR="00874F21">
        <w:rPr>
          <w:rFonts w:ascii="Times New Roman" w:hAnsi="Times New Roman" w:cs="Times New Roman"/>
        </w:rPr>
        <w:t>them.</w:t>
      </w:r>
    </w:p>
    <w:p w14:paraId="632C9829" w14:textId="74169AEE" w:rsidR="00C00C7B" w:rsidRPr="00D23139" w:rsidRDefault="00E93A99" w:rsidP="005E68EE">
      <w:pPr>
        <w:pStyle w:val="Heading4"/>
        <w:widowControl w:val="0"/>
        <w:numPr>
          <w:ilvl w:val="0"/>
          <w:numId w:val="45"/>
        </w:numPr>
        <w:contextualSpacing w:val="0"/>
      </w:pPr>
      <w:r>
        <w:t>Repatriation principle</w:t>
      </w:r>
    </w:p>
    <w:p w14:paraId="67171644" w14:textId="5E674ADC" w:rsidR="00646ECD" w:rsidRDefault="00E93A99" w:rsidP="0096648D">
      <w:pPr>
        <w:widowControl w:val="0"/>
        <w:spacing w:after="240" w:line="240" w:lineRule="auto"/>
        <w:rPr>
          <w:rFonts w:ascii="Times New Roman" w:hAnsi="Times New Roman" w:cs="Times New Roman"/>
        </w:rPr>
      </w:pPr>
      <w:r>
        <w:rPr>
          <w:rFonts w:ascii="Times New Roman" w:hAnsi="Times New Roman" w:cs="Times New Roman"/>
        </w:rPr>
        <w:t>On the repatriation principle</w:t>
      </w:r>
      <w:r w:rsidR="00646ECD">
        <w:rPr>
          <w:rFonts w:ascii="Times New Roman" w:hAnsi="Times New Roman" w:cs="Times New Roman"/>
        </w:rPr>
        <w:t xml:space="preserve">, the preamble </w:t>
      </w:r>
      <w:r>
        <w:rPr>
          <w:rFonts w:ascii="Times New Roman" w:hAnsi="Times New Roman" w:cs="Times New Roman"/>
        </w:rPr>
        <w:t xml:space="preserve">to the proposed regulations </w:t>
      </w:r>
      <w:r w:rsidR="00B621B6">
        <w:rPr>
          <w:rFonts w:ascii="Times New Roman" w:hAnsi="Times New Roman" w:cs="Times New Roman"/>
        </w:rPr>
        <w:t>explained</w:t>
      </w:r>
      <w:r w:rsidR="00646ECD">
        <w:rPr>
          <w:rFonts w:ascii="Times New Roman" w:hAnsi="Times New Roman" w:cs="Times New Roman"/>
        </w:rPr>
        <w:t>:</w:t>
      </w:r>
    </w:p>
    <w:p w14:paraId="593CF52E" w14:textId="25BF0823" w:rsidR="0000436D" w:rsidRDefault="00646ECD" w:rsidP="0096648D">
      <w:pPr>
        <w:widowControl w:val="0"/>
        <w:spacing w:after="240" w:line="240" w:lineRule="auto"/>
        <w:ind w:left="720" w:right="720"/>
        <w:jc w:val="both"/>
        <w:rPr>
          <w:rFonts w:ascii="Times New Roman" w:hAnsi="Times New Roman" w:cs="Times New Roman"/>
        </w:rPr>
      </w:pPr>
      <w:r w:rsidRPr="00646ECD">
        <w:rPr>
          <w:rFonts w:ascii="Times New Roman" w:hAnsi="Times New Roman" w:cs="Times New Roman"/>
        </w:rPr>
        <w:t xml:space="preserve">One of the principles of the proposed regulations under </w:t>
      </w:r>
      <w:r w:rsidR="004F62B7">
        <w:rPr>
          <w:rFonts w:ascii="Times New Roman" w:hAnsi="Times New Roman" w:cs="Times New Roman"/>
        </w:rPr>
        <w:t>section</w:t>
      </w:r>
      <w:r w:rsidR="007847F8" w:rsidRPr="00646ECD">
        <w:rPr>
          <w:rFonts w:ascii="Times New Roman" w:hAnsi="Times New Roman" w:cs="Times New Roman"/>
        </w:rPr>
        <w:t xml:space="preserve"> </w:t>
      </w:r>
      <w:r w:rsidRPr="00646ECD">
        <w:rPr>
          <w:rFonts w:ascii="Times New Roman" w:hAnsi="Times New Roman" w:cs="Times New Roman"/>
        </w:rPr>
        <w:t xml:space="preserve">367(b) is that the repatriation of a United States person’s share of earnings and profits of a foreign corporation through what would otherwise be a nonrecognition transaction (for example, a liquidation of a foreign subsidiary into its domestic parent in a transaction described in </w:t>
      </w:r>
      <w:r w:rsidR="00D4300D">
        <w:rPr>
          <w:rFonts w:ascii="Times New Roman" w:hAnsi="Times New Roman" w:cs="Times New Roman"/>
        </w:rPr>
        <w:t>section</w:t>
      </w:r>
      <w:r w:rsidR="007847F8" w:rsidRPr="00646ECD">
        <w:rPr>
          <w:rFonts w:ascii="Times New Roman" w:hAnsi="Times New Roman" w:cs="Times New Roman"/>
        </w:rPr>
        <w:t xml:space="preserve"> </w:t>
      </w:r>
      <w:r w:rsidRPr="00646ECD">
        <w:rPr>
          <w:rFonts w:ascii="Times New Roman" w:hAnsi="Times New Roman" w:cs="Times New Roman"/>
        </w:rPr>
        <w:t xml:space="preserve">332, or an acquisition by a domestic corporation in a reorganization described in </w:t>
      </w:r>
      <w:r w:rsidR="00D4300D">
        <w:rPr>
          <w:rFonts w:ascii="Times New Roman" w:hAnsi="Times New Roman" w:cs="Times New Roman"/>
        </w:rPr>
        <w:t>section</w:t>
      </w:r>
      <w:r w:rsidR="007847F8" w:rsidRPr="00646ECD">
        <w:rPr>
          <w:rFonts w:ascii="Times New Roman" w:hAnsi="Times New Roman" w:cs="Times New Roman"/>
        </w:rPr>
        <w:t xml:space="preserve"> </w:t>
      </w:r>
      <w:r w:rsidRPr="00646ECD">
        <w:rPr>
          <w:rFonts w:ascii="Times New Roman" w:hAnsi="Times New Roman" w:cs="Times New Roman"/>
        </w:rPr>
        <w:t>368) should generally cause recognition of income by the foreign corporation’s shareholders. A domestic acquirer of the foreign corporation’s assets should not succeed to the basis or other tax attributes of the foreign corporation except to the extent that the United States tax jurisdiction has taken account of the United States person’s share of the earnings and profits that gave rise to those tax attributes.</w:t>
      </w:r>
      <w:r>
        <w:rPr>
          <w:rStyle w:val="FootnoteReference"/>
          <w:rFonts w:ascii="Times New Roman" w:hAnsi="Times New Roman" w:cs="Times New Roman"/>
        </w:rPr>
        <w:footnoteReference w:id="65"/>
      </w:r>
    </w:p>
    <w:p w14:paraId="7A2292A3" w14:textId="2A057D89" w:rsidR="002843FD" w:rsidRDefault="007023F8" w:rsidP="0096648D">
      <w:pPr>
        <w:widowControl w:val="0"/>
        <w:spacing w:after="240" w:line="240" w:lineRule="auto"/>
        <w:rPr>
          <w:rFonts w:ascii="Times New Roman" w:hAnsi="Times New Roman" w:cs="Times New Roman"/>
        </w:rPr>
      </w:pPr>
      <w:r>
        <w:rPr>
          <w:rFonts w:ascii="Times New Roman" w:hAnsi="Times New Roman" w:cs="Times New Roman"/>
        </w:rPr>
        <w:t>In the preamble, Treasury and the IRS further elaborated that</w:t>
      </w:r>
      <w:r w:rsidR="004713AF">
        <w:rPr>
          <w:rFonts w:ascii="Times New Roman" w:hAnsi="Times New Roman" w:cs="Times New Roman"/>
        </w:rPr>
        <w:t xml:space="preserve">, </w:t>
      </w:r>
      <w:r w:rsidR="0013727B">
        <w:rPr>
          <w:rFonts w:ascii="Times New Roman" w:hAnsi="Times New Roman" w:cs="Times New Roman"/>
        </w:rPr>
        <w:t xml:space="preserve">to prevent the repatriation of </w:t>
      </w:r>
      <w:r w:rsidR="00920EA8">
        <w:rPr>
          <w:rFonts w:ascii="Times New Roman" w:hAnsi="Times New Roman" w:cs="Times New Roman"/>
        </w:rPr>
        <w:t xml:space="preserve">E&amp;P </w:t>
      </w:r>
      <w:r w:rsidR="0013727B">
        <w:rPr>
          <w:rFonts w:ascii="Times New Roman" w:hAnsi="Times New Roman" w:cs="Times New Roman"/>
        </w:rPr>
        <w:t>with</w:t>
      </w:r>
      <w:r w:rsidR="00F97D55">
        <w:rPr>
          <w:rFonts w:ascii="Times New Roman" w:hAnsi="Times New Roman" w:cs="Times New Roman"/>
        </w:rPr>
        <w:t>out tax, “</w:t>
      </w:r>
      <w:r w:rsidR="0032133D">
        <w:rPr>
          <w:rFonts w:ascii="Times New Roman" w:hAnsi="Times New Roman" w:cs="Times New Roman"/>
        </w:rPr>
        <w:t>[t]</w:t>
      </w:r>
      <w:r w:rsidR="00F97D55" w:rsidRPr="00F97D55">
        <w:rPr>
          <w:rFonts w:ascii="Times New Roman" w:hAnsi="Times New Roman" w:cs="Times New Roman"/>
        </w:rPr>
        <w:t>he proper measure of the</w:t>
      </w:r>
      <w:r w:rsidR="00F97D55">
        <w:rPr>
          <w:rFonts w:ascii="Times New Roman" w:hAnsi="Times New Roman" w:cs="Times New Roman"/>
        </w:rPr>
        <w:t xml:space="preserve"> </w:t>
      </w:r>
      <w:r w:rsidR="00F97D55" w:rsidRPr="00F97D55">
        <w:rPr>
          <w:rFonts w:ascii="Times New Roman" w:hAnsi="Times New Roman" w:cs="Times New Roman"/>
        </w:rPr>
        <w:t>earnings and profits that should be</w:t>
      </w:r>
      <w:r w:rsidR="00F97D55">
        <w:rPr>
          <w:rFonts w:ascii="Times New Roman" w:hAnsi="Times New Roman" w:cs="Times New Roman"/>
        </w:rPr>
        <w:t xml:space="preserve"> </w:t>
      </w:r>
      <w:r w:rsidR="00F97D55" w:rsidRPr="00F97D55">
        <w:rPr>
          <w:rFonts w:ascii="Times New Roman" w:hAnsi="Times New Roman" w:cs="Times New Roman"/>
        </w:rPr>
        <w:t xml:space="preserve">subject to tax is the all </w:t>
      </w:r>
      <w:r w:rsidR="009F39E7">
        <w:rPr>
          <w:rFonts w:ascii="Times New Roman" w:hAnsi="Times New Roman" w:cs="Times New Roman"/>
        </w:rPr>
        <w:t xml:space="preserve">earnings </w:t>
      </w:r>
      <w:r w:rsidR="00AB638A">
        <w:rPr>
          <w:rFonts w:ascii="Times New Roman" w:hAnsi="Times New Roman" w:cs="Times New Roman"/>
        </w:rPr>
        <w:t xml:space="preserve">and </w:t>
      </w:r>
      <w:r w:rsidR="00AB638A">
        <w:rPr>
          <w:rFonts w:ascii="Times New Roman" w:hAnsi="Times New Roman" w:cs="Times New Roman"/>
        </w:rPr>
        <w:lastRenderedPageBreak/>
        <w:t>profits</w:t>
      </w:r>
      <w:r w:rsidR="00F97D55" w:rsidRPr="00F97D55">
        <w:rPr>
          <w:rFonts w:ascii="Times New Roman" w:hAnsi="Times New Roman" w:cs="Times New Roman"/>
        </w:rPr>
        <w:t xml:space="preserve"> amount</w:t>
      </w:r>
      <w:r w:rsidR="0032133D">
        <w:rPr>
          <w:rFonts w:ascii="Times New Roman" w:hAnsi="Times New Roman" w:cs="Times New Roman"/>
        </w:rPr>
        <w:t>.”</w:t>
      </w:r>
      <w:r w:rsidR="0032133D" w:rsidRPr="0032133D">
        <w:rPr>
          <w:rStyle w:val="FootnoteReference"/>
          <w:rFonts w:ascii="Times New Roman" w:hAnsi="Times New Roman" w:cs="Times New Roman"/>
        </w:rPr>
        <w:t xml:space="preserve"> </w:t>
      </w:r>
      <w:r w:rsidR="0032133D">
        <w:rPr>
          <w:rStyle w:val="FootnoteReference"/>
          <w:rFonts w:ascii="Times New Roman" w:hAnsi="Times New Roman" w:cs="Times New Roman"/>
        </w:rPr>
        <w:footnoteReference w:id="66"/>
      </w:r>
      <w:r w:rsidR="0032133D">
        <w:rPr>
          <w:rFonts w:ascii="Times New Roman" w:hAnsi="Times New Roman" w:cs="Times New Roman"/>
        </w:rPr>
        <w:t xml:space="preserve"> Therefore</w:t>
      </w:r>
      <w:r w:rsidR="002843FD">
        <w:rPr>
          <w:rFonts w:ascii="Times New Roman" w:hAnsi="Times New Roman" w:cs="Times New Roman"/>
        </w:rPr>
        <w:t>, the</w:t>
      </w:r>
      <w:r w:rsidR="00417F51">
        <w:rPr>
          <w:rFonts w:ascii="Times New Roman" w:hAnsi="Times New Roman" w:cs="Times New Roman"/>
        </w:rPr>
        <w:t xml:space="preserve"> proposed regulations </w:t>
      </w:r>
      <w:r w:rsidR="0032133D">
        <w:rPr>
          <w:rFonts w:ascii="Times New Roman" w:hAnsi="Times New Roman" w:cs="Times New Roman"/>
        </w:rPr>
        <w:t>expanded the</w:t>
      </w:r>
      <w:r w:rsidR="00651454">
        <w:rPr>
          <w:rFonts w:ascii="Times New Roman" w:hAnsi="Times New Roman" w:cs="Times New Roman"/>
        </w:rPr>
        <w:t xml:space="preserve"> approach in the </w:t>
      </w:r>
      <w:r w:rsidR="008A5045">
        <w:rPr>
          <w:rFonts w:ascii="Times New Roman" w:hAnsi="Times New Roman" w:cs="Times New Roman"/>
        </w:rPr>
        <w:t>prior guidance</w:t>
      </w:r>
      <w:r w:rsidR="00651454">
        <w:rPr>
          <w:rFonts w:ascii="Times New Roman" w:hAnsi="Times New Roman" w:cs="Times New Roman"/>
        </w:rPr>
        <w:t xml:space="preserve"> </w:t>
      </w:r>
      <w:r w:rsidR="008A5045">
        <w:rPr>
          <w:rFonts w:ascii="Times New Roman" w:hAnsi="Times New Roman" w:cs="Times New Roman"/>
        </w:rPr>
        <w:t xml:space="preserve">applicable </w:t>
      </w:r>
      <w:r w:rsidR="00C65D66">
        <w:rPr>
          <w:rFonts w:ascii="Times New Roman" w:hAnsi="Times New Roman" w:cs="Times New Roman"/>
        </w:rPr>
        <w:t>to</w:t>
      </w:r>
      <w:r w:rsidR="0032133D">
        <w:rPr>
          <w:rFonts w:ascii="Times New Roman" w:hAnsi="Times New Roman" w:cs="Times New Roman"/>
        </w:rPr>
        <w:t xml:space="preserve"> inbound nonrecognition transactions, requiring that</w:t>
      </w:r>
      <w:r w:rsidR="00D6491D">
        <w:rPr>
          <w:rFonts w:ascii="Times New Roman" w:hAnsi="Times New Roman" w:cs="Times New Roman"/>
        </w:rPr>
        <w:t xml:space="preserve"> all U.S. shareholders, not just corporate U.S. shareholders</w:t>
      </w:r>
      <w:r w:rsidR="00E466BC">
        <w:rPr>
          <w:rFonts w:ascii="Times New Roman" w:hAnsi="Times New Roman" w:cs="Times New Roman"/>
        </w:rPr>
        <w:t xml:space="preserve"> (or 20 percent</w:t>
      </w:r>
      <w:r w:rsidR="004D066C">
        <w:rPr>
          <w:rFonts w:ascii="Times New Roman" w:hAnsi="Times New Roman" w:cs="Times New Roman"/>
        </w:rPr>
        <w:t xml:space="preserve"> </w:t>
      </w:r>
      <w:r w:rsidR="00E466BC">
        <w:rPr>
          <w:rFonts w:ascii="Times New Roman" w:hAnsi="Times New Roman" w:cs="Times New Roman"/>
        </w:rPr>
        <w:t>domestic corporate shareholders under the guidelines, in the case of inbound asset reorganizations)</w:t>
      </w:r>
      <w:r w:rsidR="00C65D66">
        <w:rPr>
          <w:rFonts w:ascii="Times New Roman" w:hAnsi="Times New Roman" w:cs="Times New Roman"/>
        </w:rPr>
        <w:t xml:space="preserve">, include in gross income as a deemed dividend </w:t>
      </w:r>
      <w:r w:rsidR="00E466BC">
        <w:rPr>
          <w:rFonts w:ascii="Times New Roman" w:hAnsi="Times New Roman" w:cs="Times New Roman"/>
        </w:rPr>
        <w:t>the</w:t>
      </w:r>
      <w:r w:rsidR="00C65D66">
        <w:rPr>
          <w:rFonts w:ascii="Times New Roman" w:hAnsi="Times New Roman" w:cs="Times New Roman"/>
        </w:rPr>
        <w:t xml:space="preserve"> all E&amp;P amount in an inbound nonrecognition transaction</w:t>
      </w:r>
      <w:r w:rsidR="00851D0B">
        <w:rPr>
          <w:rFonts w:ascii="Times New Roman" w:hAnsi="Times New Roman" w:cs="Times New Roman"/>
        </w:rPr>
        <w:t>.</w:t>
      </w:r>
      <w:r w:rsidR="00851D0B">
        <w:rPr>
          <w:rStyle w:val="FootnoteReference"/>
          <w:rFonts w:ascii="Times New Roman" w:hAnsi="Times New Roman" w:cs="Times New Roman"/>
        </w:rPr>
        <w:footnoteReference w:id="67"/>
      </w:r>
      <w:r w:rsidR="007E18F6">
        <w:rPr>
          <w:rFonts w:ascii="Times New Roman" w:hAnsi="Times New Roman" w:cs="Times New Roman"/>
        </w:rPr>
        <w:t xml:space="preserve"> </w:t>
      </w:r>
      <w:r w:rsidR="00FA17AF">
        <w:rPr>
          <w:rFonts w:ascii="Times New Roman" w:hAnsi="Times New Roman" w:cs="Times New Roman"/>
        </w:rPr>
        <w:t xml:space="preserve">Also, consistent with </w:t>
      </w:r>
      <w:r w:rsidR="00E93A99">
        <w:rPr>
          <w:rFonts w:ascii="Times New Roman" w:hAnsi="Times New Roman" w:cs="Times New Roman"/>
        </w:rPr>
        <w:t xml:space="preserve">the repatriation </w:t>
      </w:r>
      <w:r w:rsidR="00FA17AF">
        <w:rPr>
          <w:rFonts w:ascii="Times New Roman" w:hAnsi="Times New Roman" w:cs="Times New Roman"/>
        </w:rPr>
        <w:t xml:space="preserve">principle, </w:t>
      </w:r>
      <w:r w:rsidR="00D1753B">
        <w:rPr>
          <w:rFonts w:ascii="Times New Roman" w:hAnsi="Times New Roman" w:cs="Times New Roman"/>
        </w:rPr>
        <w:t xml:space="preserve">the proposed regulations generally eliminated the </w:t>
      </w:r>
      <w:r w:rsidR="00585427">
        <w:rPr>
          <w:rFonts w:ascii="Times New Roman" w:hAnsi="Times New Roman" w:cs="Times New Roman"/>
        </w:rPr>
        <w:t xml:space="preserve">rule in the temporary regulations </w:t>
      </w:r>
      <w:r w:rsidR="0018342C">
        <w:rPr>
          <w:rFonts w:ascii="Times New Roman" w:hAnsi="Times New Roman" w:cs="Times New Roman"/>
        </w:rPr>
        <w:t xml:space="preserve">that implicitly permitted taxpayers to elect taxable exchange treatment </w:t>
      </w:r>
      <w:r w:rsidR="00FF69C0" w:rsidRPr="00E32AAF">
        <w:rPr>
          <w:rFonts w:ascii="Times New Roman" w:hAnsi="Times New Roman" w:cs="Times New Roman"/>
        </w:rPr>
        <w:t xml:space="preserve">in </w:t>
      </w:r>
      <w:r w:rsidR="00FF69C0" w:rsidRPr="008772AE">
        <w:rPr>
          <w:rFonts w:ascii="Times New Roman" w:hAnsi="Times New Roman" w:cs="Times New Roman"/>
          <w:i/>
        </w:rPr>
        <w:t xml:space="preserve">lieu </w:t>
      </w:r>
      <w:r w:rsidR="00FF69C0">
        <w:rPr>
          <w:rFonts w:ascii="Times New Roman" w:hAnsi="Times New Roman" w:cs="Times New Roman"/>
        </w:rPr>
        <w:t>of including an all E&amp;P amount in an inbound nonrecognition transaction.</w:t>
      </w:r>
      <w:r w:rsidR="003024B9">
        <w:rPr>
          <w:rStyle w:val="FootnoteReference"/>
          <w:rFonts w:ascii="Times New Roman" w:hAnsi="Times New Roman" w:cs="Times New Roman"/>
        </w:rPr>
        <w:footnoteReference w:id="68"/>
      </w:r>
    </w:p>
    <w:p w14:paraId="5B6CDA83" w14:textId="6D62E836" w:rsidR="00ED2AC4" w:rsidRDefault="005538B1" w:rsidP="0096648D">
      <w:pPr>
        <w:widowControl w:val="0"/>
        <w:spacing w:after="240" w:line="240" w:lineRule="auto"/>
        <w:rPr>
          <w:rFonts w:ascii="Times New Roman" w:hAnsi="Times New Roman" w:cs="Times New Roman"/>
        </w:rPr>
      </w:pPr>
      <w:r>
        <w:rPr>
          <w:rFonts w:ascii="Times New Roman" w:hAnsi="Times New Roman" w:cs="Times New Roman"/>
        </w:rPr>
        <w:t xml:space="preserve">However, the proposed regulations departed from the principle that </w:t>
      </w:r>
      <w:r w:rsidR="009C55A2">
        <w:rPr>
          <w:rFonts w:ascii="Times New Roman" w:hAnsi="Times New Roman" w:cs="Times New Roman"/>
        </w:rPr>
        <w:t xml:space="preserve">shareholders </w:t>
      </w:r>
      <w:r w:rsidR="00A93615">
        <w:rPr>
          <w:rFonts w:ascii="Times New Roman" w:hAnsi="Times New Roman" w:cs="Times New Roman"/>
        </w:rPr>
        <w:t>ought</w:t>
      </w:r>
      <w:r w:rsidR="009C55A2">
        <w:rPr>
          <w:rFonts w:ascii="Times New Roman" w:hAnsi="Times New Roman" w:cs="Times New Roman"/>
        </w:rPr>
        <w:t xml:space="preserve"> to include their all E&amp;P amount in two situations. </w:t>
      </w:r>
      <w:r w:rsidR="00B441A4">
        <w:rPr>
          <w:rFonts w:ascii="Times New Roman" w:hAnsi="Times New Roman" w:cs="Times New Roman"/>
        </w:rPr>
        <w:t>First, the</w:t>
      </w:r>
      <w:r w:rsidR="00454C9F">
        <w:rPr>
          <w:rFonts w:ascii="Times New Roman" w:hAnsi="Times New Roman" w:cs="Times New Roman"/>
        </w:rPr>
        <w:t xml:space="preserve"> </w:t>
      </w:r>
      <w:r w:rsidR="00B441A4">
        <w:rPr>
          <w:rFonts w:ascii="Times New Roman" w:hAnsi="Times New Roman" w:cs="Times New Roman"/>
        </w:rPr>
        <w:t xml:space="preserve">proposed </w:t>
      </w:r>
      <w:r w:rsidR="002539FE">
        <w:rPr>
          <w:rFonts w:ascii="Times New Roman" w:hAnsi="Times New Roman" w:cs="Times New Roman"/>
        </w:rPr>
        <w:t>regulations</w:t>
      </w:r>
      <w:r w:rsidR="00B441A4">
        <w:rPr>
          <w:rFonts w:ascii="Times New Roman" w:hAnsi="Times New Roman" w:cs="Times New Roman"/>
        </w:rPr>
        <w:t xml:space="preserve"> </w:t>
      </w:r>
      <w:r w:rsidR="00454C9F">
        <w:rPr>
          <w:rFonts w:ascii="Times New Roman" w:hAnsi="Times New Roman" w:cs="Times New Roman"/>
        </w:rPr>
        <w:t xml:space="preserve">provided </w:t>
      </w:r>
      <w:r w:rsidR="002539FE">
        <w:rPr>
          <w:rFonts w:ascii="Times New Roman" w:hAnsi="Times New Roman" w:cs="Times New Roman"/>
        </w:rPr>
        <w:t>a U.S.</w:t>
      </w:r>
      <w:r w:rsidR="00454C9F">
        <w:rPr>
          <w:rFonts w:ascii="Times New Roman" w:hAnsi="Times New Roman" w:cs="Times New Roman"/>
        </w:rPr>
        <w:t xml:space="preserve"> shareholder an election to recognize </w:t>
      </w:r>
      <w:r w:rsidR="004E27E1">
        <w:rPr>
          <w:rFonts w:ascii="Times New Roman" w:hAnsi="Times New Roman" w:cs="Times New Roman"/>
        </w:rPr>
        <w:t xml:space="preserve">the </w:t>
      </w:r>
      <w:r w:rsidR="00454C9F">
        <w:rPr>
          <w:rFonts w:ascii="Times New Roman" w:hAnsi="Times New Roman" w:cs="Times New Roman"/>
        </w:rPr>
        <w:t xml:space="preserve">gain </w:t>
      </w:r>
      <w:r w:rsidR="00F809DD">
        <w:rPr>
          <w:rFonts w:ascii="Times New Roman" w:hAnsi="Times New Roman" w:cs="Times New Roman"/>
        </w:rPr>
        <w:t xml:space="preserve">(but not loss) </w:t>
      </w:r>
      <w:r w:rsidR="004E27E1">
        <w:rPr>
          <w:rFonts w:ascii="Times New Roman" w:hAnsi="Times New Roman" w:cs="Times New Roman"/>
        </w:rPr>
        <w:t>that it realizes with respect to its stock in the foreign acquired corporation</w:t>
      </w:r>
      <w:r w:rsidR="002A4DA5">
        <w:rPr>
          <w:rFonts w:ascii="Times New Roman" w:hAnsi="Times New Roman" w:cs="Times New Roman"/>
        </w:rPr>
        <w:t xml:space="preserve">, </w:t>
      </w:r>
      <w:r w:rsidR="002A4DA5" w:rsidRPr="007D2284">
        <w:rPr>
          <w:rFonts w:ascii="Times New Roman" w:hAnsi="Times New Roman" w:cs="Times New Roman"/>
        </w:rPr>
        <w:t>in</w:t>
      </w:r>
      <w:r w:rsidR="002A4DA5" w:rsidRPr="008772AE">
        <w:rPr>
          <w:rFonts w:ascii="Times New Roman" w:hAnsi="Times New Roman" w:cs="Times New Roman"/>
          <w:i/>
        </w:rPr>
        <w:t xml:space="preserve"> lieu</w:t>
      </w:r>
      <w:r w:rsidR="002A4DA5">
        <w:rPr>
          <w:rFonts w:ascii="Times New Roman" w:hAnsi="Times New Roman" w:cs="Times New Roman"/>
        </w:rPr>
        <w:t xml:space="preserve"> of including its all E&amp;P amoun</w:t>
      </w:r>
      <w:r w:rsidR="00AF2E85">
        <w:rPr>
          <w:rFonts w:ascii="Times New Roman" w:hAnsi="Times New Roman" w:cs="Times New Roman"/>
        </w:rPr>
        <w:t>t (a “</w:t>
      </w:r>
      <w:r w:rsidR="00AF2E85" w:rsidRPr="002B3A89">
        <w:rPr>
          <w:rFonts w:ascii="Times New Roman" w:hAnsi="Times New Roman" w:cs="Times New Roman"/>
          <w:b/>
        </w:rPr>
        <w:t>taxable exchange election</w:t>
      </w:r>
      <w:r w:rsidR="00AF2E85">
        <w:rPr>
          <w:rFonts w:ascii="Times New Roman" w:hAnsi="Times New Roman" w:cs="Times New Roman"/>
        </w:rPr>
        <w:t>”).</w:t>
      </w:r>
      <w:r w:rsidR="00857FEA">
        <w:rPr>
          <w:rStyle w:val="FootnoteReference"/>
          <w:rFonts w:ascii="Times New Roman" w:hAnsi="Times New Roman" w:cs="Times New Roman"/>
        </w:rPr>
        <w:footnoteReference w:id="69"/>
      </w:r>
      <w:r w:rsidR="00857FEA">
        <w:rPr>
          <w:rFonts w:ascii="Times New Roman" w:hAnsi="Times New Roman" w:cs="Times New Roman"/>
        </w:rPr>
        <w:t xml:space="preserve"> </w:t>
      </w:r>
      <w:r w:rsidR="00AF2E85">
        <w:rPr>
          <w:rFonts w:ascii="Times New Roman" w:hAnsi="Times New Roman" w:cs="Times New Roman"/>
        </w:rPr>
        <w:t>However, if</w:t>
      </w:r>
      <w:r w:rsidR="006B45EF">
        <w:rPr>
          <w:rFonts w:ascii="Times New Roman" w:hAnsi="Times New Roman" w:cs="Times New Roman"/>
        </w:rPr>
        <w:t xml:space="preserve"> a</w:t>
      </w:r>
      <w:r w:rsidR="00AF2E85">
        <w:rPr>
          <w:rFonts w:ascii="Times New Roman" w:hAnsi="Times New Roman" w:cs="Times New Roman"/>
        </w:rPr>
        <w:t xml:space="preserve"> taxable exchange </w:t>
      </w:r>
      <w:r w:rsidR="006B45EF">
        <w:rPr>
          <w:rFonts w:ascii="Times New Roman" w:hAnsi="Times New Roman" w:cs="Times New Roman"/>
        </w:rPr>
        <w:t>election</w:t>
      </w:r>
      <w:r w:rsidR="00AF2E85">
        <w:rPr>
          <w:rFonts w:ascii="Times New Roman" w:hAnsi="Times New Roman" w:cs="Times New Roman"/>
        </w:rPr>
        <w:t xml:space="preserve"> is made, the proposed regulations required a reduction in</w:t>
      </w:r>
      <w:r w:rsidR="006B45EF">
        <w:rPr>
          <w:rFonts w:ascii="Times New Roman" w:hAnsi="Times New Roman" w:cs="Times New Roman"/>
        </w:rPr>
        <w:t xml:space="preserve"> </w:t>
      </w:r>
      <w:r w:rsidR="003D1DCA">
        <w:rPr>
          <w:rFonts w:ascii="Times New Roman" w:hAnsi="Times New Roman" w:cs="Times New Roman"/>
        </w:rPr>
        <w:t>asset</w:t>
      </w:r>
      <w:r w:rsidR="00AF2E85">
        <w:rPr>
          <w:rFonts w:ascii="Times New Roman" w:hAnsi="Times New Roman" w:cs="Times New Roman"/>
        </w:rPr>
        <w:t xml:space="preserve"> basis (or other tax attributes)</w:t>
      </w:r>
      <w:r w:rsidR="003D1DCA">
        <w:rPr>
          <w:rFonts w:ascii="Times New Roman" w:hAnsi="Times New Roman" w:cs="Times New Roman"/>
        </w:rPr>
        <w:t xml:space="preserve"> of the foreign acquired corporation </w:t>
      </w:r>
      <w:r w:rsidR="002C3D9A">
        <w:rPr>
          <w:rFonts w:ascii="Times New Roman" w:hAnsi="Times New Roman" w:cs="Times New Roman"/>
        </w:rPr>
        <w:t>to which the domestic acquiring corporation would otherwise succeed</w:t>
      </w:r>
      <w:r w:rsidR="00AF2E85">
        <w:rPr>
          <w:rFonts w:ascii="Times New Roman" w:hAnsi="Times New Roman" w:cs="Times New Roman"/>
        </w:rPr>
        <w:t xml:space="preserve"> in an amount equal to the excess of the all E&amp;P amount over the gain recognized.</w:t>
      </w:r>
      <w:r w:rsidR="002C3D9A">
        <w:rPr>
          <w:rStyle w:val="FootnoteReference"/>
          <w:rFonts w:ascii="Times New Roman" w:hAnsi="Times New Roman" w:cs="Times New Roman"/>
        </w:rPr>
        <w:footnoteReference w:id="70"/>
      </w:r>
      <w:r w:rsidR="00ED2AC4">
        <w:rPr>
          <w:rFonts w:ascii="Times New Roman" w:hAnsi="Times New Roman" w:cs="Times New Roman"/>
        </w:rPr>
        <w:t xml:space="preserve"> </w:t>
      </w:r>
    </w:p>
    <w:p w14:paraId="43878BC5" w14:textId="4EB4E248" w:rsidR="00027ED7" w:rsidRDefault="00ED2AC4" w:rsidP="0096648D">
      <w:pPr>
        <w:widowControl w:val="0"/>
        <w:spacing w:after="240" w:line="240" w:lineRule="auto"/>
        <w:rPr>
          <w:rFonts w:ascii="Times New Roman" w:hAnsi="Times New Roman" w:cs="Times New Roman"/>
        </w:rPr>
      </w:pPr>
      <w:r>
        <w:rPr>
          <w:rFonts w:ascii="Times New Roman" w:hAnsi="Times New Roman" w:cs="Times New Roman"/>
        </w:rPr>
        <w:t xml:space="preserve">Second, the proposed regulations </w:t>
      </w:r>
      <w:r w:rsidRPr="00F510A6">
        <w:rPr>
          <w:rFonts w:ascii="Times New Roman" w:hAnsi="Times New Roman" w:cs="Times New Roman"/>
        </w:rPr>
        <w:t>required</w:t>
      </w:r>
      <w:r>
        <w:rPr>
          <w:rFonts w:ascii="Times New Roman" w:hAnsi="Times New Roman" w:cs="Times New Roman"/>
        </w:rPr>
        <w:t xml:space="preserve"> small shareholders to recognize </w:t>
      </w:r>
      <w:r w:rsidR="008E0D6B">
        <w:rPr>
          <w:rFonts w:ascii="Times New Roman" w:hAnsi="Times New Roman" w:cs="Times New Roman"/>
        </w:rPr>
        <w:t xml:space="preserve">the </w:t>
      </w:r>
      <w:r w:rsidR="005D0720">
        <w:rPr>
          <w:rFonts w:ascii="Times New Roman" w:hAnsi="Times New Roman" w:cs="Times New Roman"/>
        </w:rPr>
        <w:t xml:space="preserve">gain </w:t>
      </w:r>
      <w:r>
        <w:rPr>
          <w:rFonts w:ascii="Times New Roman" w:hAnsi="Times New Roman" w:cs="Times New Roman"/>
        </w:rPr>
        <w:t>(but not loss)</w:t>
      </w:r>
      <w:r w:rsidR="004E27E1">
        <w:rPr>
          <w:rFonts w:ascii="Times New Roman" w:hAnsi="Times New Roman" w:cs="Times New Roman"/>
        </w:rPr>
        <w:t xml:space="preserve"> realized with respect to </w:t>
      </w:r>
      <w:r w:rsidR="005D1A2E">
        <w:rPr>
          <w:rFonts w:ascii="Times New Roman" w:hAnsi="Times New Roman" w:cs="Times New Roman"/>
        </w:rPr>
        <w:t>their</w:t>
      </w:r>
      <w:r w:rsidR="004E27E1">
        <w:rPr>
          <w:rFonts w:ascii="Times New Roman" w:hAnsi="Times New Roman" w:cs="Times New Roman"/>
        </w:rPr>
        <w:t xml:space="preserve"> </w:t>
      </w:r>
      <w:r w:rsidR="005D0720">
        <w:rPr>
          <w:rFonts w:ascii="Times New Roman" w:hAnsi="Times New Roman" w:cs="Times New Roman"/>
        </w:rPr>
        <w:t xml:space="preserve">stock </w:t>
      </w:r>
      <w:r w:rsidR="004E27E1">
        <w:rPr>
          <w:rFonts w:ascii="Times New Roman" w:hAnsi="Times New Roman" w:cs="Times New Roman"/>
        </w:rPr>
        <w:t xml:space="preserve">in </w:t>
      </w:r>
      <w:r w:rsidR="005D0720">
        <w:rPr>
          <w:rFonts w:ascii="Times New Roman" w:hAnsi="Times New Roman" w:cs="Times New Roman"/>
        </w:rPr>
        <w:t>the foreign acquired corporation.</w:t>
      </w:r>
      <w:r w:rsidR="00DD1846">
        <w:rPr>
          <w:rStyle w:val="FootnoteReference"/>
          <w:rFonts w:ascii="Times New Roman" w:hAnsi="Times New Roman" w:cs="Times New Roman"/>
        </w:rPr>
        <w:footnoteReference w:id="71"/>
      </w:r>
      <w:r w:rsidR="005D0720">
        <w:rPr>
          <w:rFonts w:ascii="Times New Roman" w:hAnsi="Times New Roman" w:cs="Times New Roman"/>
        </w:rPr>
        <w:t xml:space="preserve"> </w:t>
      </w:r>
      <w:r w:rsidR="008E0D6B">
        <w:rPr>
          <w:rFonts w:ascii="Times New Roman" w:hAnsi="Times New Roman" w:cs="Times New Roman"/>
        </w:rPr>
        <w:t>The preamble explained that gain recognition</w:t>
      </w:r>
      <w:r w:rsidR="002800A6">
        <w:rPr>
          <w:rFonts w:ascii="Times New Roman" w:hAnsi="Times New Roman" w:cs="Times New Roman"/>
        </w:rPr>
        <w:t xml:space="preserve"> without attribution reduction</w:t>
      </w:r>
      <w:r w:rsidR="008E0D6B">
        <w:rPr>
          <w:rFonts w:ascii="Times New Roman" w:hAnsi="Times New Roman" w:cs="Times New Roman"/>
        </w:rPr>
        <w:t>, rather than an inclusion of an all E&amp;P amount, was</w:t>
      </w:r>
      <w:r w:rsidR="00DD1846">
        <w:rPr>
          <w:rFonts w:ascii="Times New Roman" w:hAnsi="Times New Roman" w:cs="Times New Roman"/>
        </w:rPr>
        <w:t xml:space="preserve"> an</w:t>
      </w:r>
      <w:r w:rsidR="008E0D6B">
        <w:rPr>
          <w:rFonts w:ascii="Times New Roman" w:hAnsi="Times New Roman" w:cs="Times New Roman"/>
        </w:rPr>
        <w:t xml:space="preserve"> appropriate</w:t>
      </w:r>
      <w:r w:rsidR="00A654F8">
        <w:rPr>
          <w:rFonts w:ascii="Times New Roman" w:hAnsi="Times New Roman" w:cs="Times New Roman"/>
        </w:rPr>
        <w:t xml:space="preserve"> measure</w:t>
      </w:r>
      <w:r w:rsidR="008E0D6B">
        <w:rPr>
          <w:rFonts w:ascii="Times New Roman" w:hAnsi="Times New Roman" w:cs="Times New Roman"/>
        </w:rPr>
        <w:t xml:space="preserve"> for small shareholders based on </w:t>
      </w:r>
      <w:r w:rsidR="00013915">
        <w:rPr>
          <w:rFonts w:ascii="Times New Roman" w:hAnsi="Times New Roman" w:cs="Times New Roman"/>
        </w:rPr>
        <w:t>administrative</w:t>
      </w:r>
      <w:r w:rsidR="008E0D6B">
        <w:rPr>
          <w:rFonts w:ascii="Times New Roman" w:hAnsi="Times New Roman" w:cs="Times New Roman"/>
        </w:rPr>
        <w:t xml:space="preserve"> concerns</w:t>
      </w:r>
      <w:r w:rsidR="00027ED7">
        <w:rPr>
          <w:rFonts w:ascii="Times New Roman" w:hAnsi="Times New Roman" w:cs="Times New Roman"/>
        </w:rPr>
        <w:t>:</w:t>
      </w:r>
    </w:p>
    <w:p w14:paraId="63CA95DF" w14:textId="484B35A4" w:rsidR="00027ED7" w:rsidRDefault="00027ED7" w:rsidP="0096648D">
      <w:pPr>
        <w:widowControl w:val="0"/>
        <w:spacing w:after="240" w:line="240" w:lineRule="auto"/>
        <w:ind w:left="720" w:right="720"/>
        <w:jc w:val="both"/>
        <w:rPr>
          <w:rFonts w:ascii="Times New Roman" w:hAnsi="Times New Roman" w:cs="Times New Roman"/>
        </w:rPr>
      </w:pPr>
      <w:r w:rsidRPr="00027ED7">
        <w:rPr>
          <w:rFonts w:ascii="Times New Roman" w:hAnsi="Times New Roman" w:cs="Times New Roman"/>
        </w:rPr>
        <w:t>Such a United States person may not</w:t>
      </w:r>
      <w:r>
        <w:rPr>
          <w:rFonts w:ascii="Times New Roman" w:hAnsi="Times New Roman" w:cs="Times New Roman"/>
        </w:rPr>
        <w:t xml:space="preserve"> </w:t>
      </w:r>
      <w:r w:rsidRPr="00027ED7">
        <w:rPr>
          <w:rFonts w:ascii="Times New Roman" w:hAnsi="Times New Roman" w:cs="Times New Roman"/>
        </w:rPr>
        <w:t>own a sufficient interest in the foreign</w:t>
      </w:r>
      <w:r>
        <w:rPr>
          <w:rFonts w:ascii="Times New Roman" w:hAnsi="Times New Roman" w:cs="Times New Roman"/>
        </w:rPr>
        <w:t xml:space="preserve"> </w:t>
      </w:r>
      <w:r w:rsidRPr="00027ED7">
        <w:rPr>
          <w:rFonts w:ascii="Times New Roman" w:hAnsi="Times New Roman" w:cs="Times New Roman"/>
        </w:rPr>
        <w:t>acquired corporation to obtain the</w:t>
      </w:r>
      <w:r>
        <w:rPr>
          <w:rFonts w:ascii="Times New Roman" w:hAnsi="Times New Roman" w:cs="Times New Roman"/>
        </w:rPr>
        <w:t xml:space="preserve"> </w:t>
      </w:r>
      <w:r w:rsidRPr="00027ED7">
        <w:rPr>
          <w:rFonts w:ascii="Times New Roman" w:hAnsi="Times New Roman" w:cs="Times New Roman"/>
        </w:rPr>
        <w:t>relevant earnings and profits</w:t>
      </w:r>
      <w:r>
        <w:rPr>
          <w:rFonts w:ascii="Times New Roman" w:hAnsi="Times New Roman" w:cs="Times New Roman"/>
        </w:rPr>
        <w:t xml:space="preserve"> </w:t>
      </w:r>
      <w:r w:rsidRPr="00027ED7">
        <w:rPr>
          <w:rFonts w:ascii="Times New Roman" w:hAnsi="Times New Roman" w:cs="Times New Roman"/>
        </w:rPr>
        <w:t>information needed to compute the all</w:t>
      </w:r>
      <w:r>
        <w:rPr>
          <w:rFonts w:ascii="Times New Roman" w:hAnsi="Times New Roman" w:cs="Times New Roman"/>
        </w:rPr>
        <w:t xml:space="preserve"> </w:t>
      </w:r>
      <w:r w:rsidRPr="00027ED7">
        <w:rPr>
          <w:rFonts w:ascii="Times New Roman" w:hAnsi="Times New Roman" w:cs="Times New Roman"/>
        </w:rPr>
        <w:t>earnings and profits amount with</w:t>
      </w:r>
      <w:r>
        <w:rPr>
          <w:rFonts w:ascii="Times New Roman" w:hAnsi="Times New Roman" w:cs="Times New Roman"/>
        </w:rPr>
        <w:t xml:space="preserve"> </w:t>
      </w:r>
      <w:r w:rsidRPr="00027ED7">
        <w:rPr>
          <w:rFonts w:ascii="Times New Roman" w:hAnsi="Times New Roman" w:cs="Times New Roman"/>
        </w:rPr>
        <w:t>respect to the stock that it exchanges.</w:t>
      </w:r>
      <w:r>
        <w:rPr>
          <w:rFonts w:ascii="Times New Roman" w:hAnsi="Times New Roman" w:cs="Times New Roman"/>
        </w:rPr>
        <w:t xml:space="preserve"> </w:t>
      </w:r>
      <w:r w:rsidRPr="00027ED7">
        <w:rPr>
          <w:rFonts w:ascii="Times New Roman" w:hAnsi="Times New Roman" w:cs="Times New Roman"/>
        </w:rPr>
        <w:t>Similarly, the foreign acquired</w:t>
      </w:r>
      <w:r>
        <w:rPr>
          <w:rFonts w:ascii="Times New Roman" w:hAnsi="Times New Roman" w:cs="Times New Roman"/>
        </w:rPr>
        <w:t xml:space="preserve"> </w:t>
      </w:r>
      <w:r w:rsidRPr="00027ED7">
        <w:rPr>
          <w:rFonts w:ascii="Times New Roman" w:hAnsi="Times New Roman" w:cs="Times New Roman"/>
        </w:rPr>
        <w:t>corporation may not have adequate</w:t>
      </w:r>
      <w:r>
        <w:rPr>
          <w:rFonts w:ascii="Times New Roman" w:hAnsi="Times New Roman" w:cs="Times New Roman"/>
        </w:rPr>
        <w:t xml:space="preserve"> </w:t>
      </w:r>
      <w:r w:rsidRPr="00027ED7">
        <w:rPr>
          <w:rFonts w:ascii="Times New Roman" w:hAnsi="Times New Roman" w:cs="Times New Roman"/>
        </w:rPr>
        <w:t>information about such a shareholder’s</w:t>
      </w:r>
      <w:r>
        <w:rPr>
          <w:rFonts w:ascii="Times New Roman" w:hAnsi="Times New Roman" w:cs="Times New Roman"/>
        </w:rPr>
        <w:t xml:space="preserve"> </w:t>
      </w:r>
      <w:r w:rsidRPr="00027ED7">
        <w:rPr>
          <w:rFonts w:ascii="Times New Roman" w:hAnsi="Times New Roman" w:cs="Times New Roman"/>
        </w:rPr>
        <w:t>realized gain to compute the proper</w:t>
      </w:r>
      <w:r>
        <w:rPr>
          <w:rFonts w:ascii="Times New Roman" w:hAnsi="Times New Roman" w:cs="Times New Roman"/>
        </w:rPr>
        <w:t xml:space="preserve"> </w:t>
      </w:r>
      <w:r w:rsidRPr="00027ED7">
        <w:rPr>
          <w:rFonts w:ascii="Times New Roman" w:hAnsi="Times New Roman" w:cs="Times New Roman"/>
        </w:rPr>
        <w:t>attribute reduction.</w:t>
      </w:r>
      <w:r w:rsidR="00C94713">
        <w:rPr>
          <w:rStyle w:val="FootnoteReference"/>
          <w:rFonts w:ascii="Times New Roman" w:hAnsi="Times New Roman" w:cs="Times New Roman"/>
        </w:rPr>
        <w:footnoteReference w:id="72"/>
      </w:r>
    </w:p>
    <w:p w14:paraId="362F202F" w14:textId="2FAC3F83" w:rsidR="001158E3" w:rsidRDefault="00027ED7" w:rsidP="0096648D">
      <w:pPr>
        <w:widowControl w:val="0"/>
        <w:spacing w:after="240" w:line="240" w:lineRule="auto"/>
        <w:rPr>
          <w:rFonts w:ascii="Times New Roman" w:hAnsi="Times New Roman" w:cs="Times New Roman"/>
        </w:rPr>
      </w:pPr>
      <w:r>
        <w:rPr>
          <w:rFonts w:ascii="Times New Roman" w:hAnsi="Times New Roman" w:cs="Times New Roman"/>
        </w:rPr>
        <w:t xml:space="preserve">Interestingly, </w:t>
      </w:r>
      <w:r w:rsidR="00FC2F34">
        <w:rPr>
          <w:rFonts w:ascii="Times New Roman" w:hAnsi="Times New Roman" w:cs="Times New Roman"/>
        </w:rPr>
        <w:t>though the preamble</w:t>
      </w:r>
      <w:r w:rsidR="000B5744">
        <w:rPr>
          <w:rFonts w:ascii="Times New Roman" w:hAnsi="Times New Roman" w:cs="Times New Roman"/>
        </w:rPr>
        <w:t xml:space="preserve"> explains the </w:t>
      </w:r>
      <w:r w:rsidR="00FC2F34">
        <w:rPr>
          <w:rFonts w:ascii="Times New Roman" w:hAnsi="Times New Roman" w:cs="Times New Roman"/>
        </w:rPr>
        <w:t>“departure” from an all E&amp;P inclusion in the case of small shareholders, nowhere does it explain the proposed regulations’ departur</w:t>
      </w:r>
      <w:r w:rsidR="007527ED">
        <w:rPr>
          <w:rFonts w:ascii="Times New Roman" w:hAnsi="Times New Roman" w:cs="Times New Roman"/>
        </w:rPr>
        <w:t>e from the</w:t>
      </w:r>
      <w:r w:rsidR="000B5744">
        <w:rPr>
          <w:rFonts w:ascii="Times New Roman" w:hAnsi="Times New Roman" w:cs="Times New Roman"/>
        </w:rPr>
        <w:t xml:space="preserve"> nonrecognition</w:t>
      </w:r>
      <w:r w:rsidR="007527ED">
        <w:rPr>
          <w:rFonts w:ascii="Times New Roman" w:hAnsi="Times New Roman" w:cs="Times New Roman"/>
        </w:rPr>
        <w:t xml:space="preserve"> approach </w:t>
      </w:r>
      <w:r w:rsidR="000B5744">
        <w:rPr>
          <w:rFonts w:ascii="Times New Roman" w:hAnsi="Times New Roman" w:cs="Times New Roman"/>
        </w:rPr>
        <w:t xml:space="preserve">for small shareholders </w:t>
      </w:r>
      <w:r w:rsidR="007527ED">
        <w:rPr>
          <w:rFonts w:ascii="Times New Roman" w:hAnsi="Times New Roman" w:cs="Times New Roman"/>
        </w:rPr>
        <w:t>under the guidelines and the</w:t>
      </w:r>
      <w:r w:rsidR="000B5744">
        <w:rPr>
          <w:rFonts w:ascii="Times New Roman" w:hAnsi="Times New Roman" w:cs="Times New Roman"/>
        </w:rPr>
        <w:t xml:space="preserve"> temporary regulations</w:t>
      </w:r>
      <w:r w:rsidR="005D0720">
        <w:rPr>
          <w:rFonts w:ascii="Times New Roman" w:hAnsi="Times New Roman" w:cs="Times New Roman"/>
        </w:rPr>
        <w:t>.</w:t>
      </w:r>
    </w:p>
    <w:p w14:paraId="47E23A56" w14:textId="3217FCAD" w:rsidR="00FB31A5" w:rsidRPr="00D23139" w:rsidRDefault="00E93A99" w:rsidP="005E68EE">
      <w:pPr>
        <w:pStyle w:val="Heading4"/>
        <w:widowControl w:val="0"/>
        <w:contextualSpacing w:val="0"/>
      </w:pPr>
      <w:r>
        <w:lastRenderedPageBreak/>
        <w:t>Distortion principle</w:t>
      </w:r>
    </w:p>
    <w:p w14:paraId="64208544" w14:textId="7C7854BC" w:rsidR="00646ECD" w:rsidRDefault="00B621B6" w:rsidP="0096648D">
      <w:pPr>
        <w:widowControl w:val="0"/>
        <w:spacing w:after="240" w:line="240" w:lineRule="auto"/>
        <w:rPr>
          <w:rFonts w:ascii="Times New Roman" w:hAnsi="Times New Roman" w:cs="Times New Roman"/>
        </w:rPr>
      </w:pPr>
      <w:r>
        <w:rPr>
          <w:rFonts w:ascii="Times New Roman" w:hAnsi="Times New Roman" w:cs="Times New Roman"/>
        </w:rPr>
        <w:t xml:space="preserve">On the </w:t>
      </w:r>
      <w:r w:rsidR="00E93A99">
        <w:rPr>
          <w:rFonts w:ascii="Times New Roman" w:hAnsi="Times New Roman" w:cs="Times New Roman"/>
        </w:rPr>
        <w:t xml:space="preserve">distortion </w:t>
      </w:r>
      <w:r w:rsidR="00646ECD">
        <w:rPr>
          <w:rFonts w:ascii="Times New Roman" w:hAnsi="Times New Roman" w:cs="Times New Roman"/>
        </w:rPr>
        <w:t>principle</w:t>
      </w:r>
      <w:r>
        <w:rPr>
          <w:rFonts w:ascii="Times New Roman" w:hAnsi="Times New Roman" w:cs="Times New Roman"/>
        </w:rPr>
        <w:t xml:space="preserve">, </w:t>
      </w:r>
      <w:r w:rsidR="00DE4B9B">
        <w:rPr>
          <w:rFonts w:ascii="Times New Roman" w:hAnsi="Times New Roman" w:cs="Times New Roman"/>
        </w:rPr>
        <w:t xml:space="preserve">the preamble </w:t>
      </w:r>
      <w:r w:rsidR="00D020BA">
        <w:rPr>
          <w:rFonts w:ascii="Times New Roman" w:hAnsi="Times New Roman" w:cs="Times New Roman"/>
        </w:rPr>
        <w:t xml:space="preserve">to the proposed regulations </w:t>
      </w:r>
      <w:r w:rsidR="00DE4B9B">
        <w:rPr>
          <w:rFonts w:ascii="Times New Roman" w:hAnsi="Times New Roman" w:cs="Times New Roman"/>
        </w:rPr>
        <w:t>explained</w:t>
      </w:r>
      <w:r w:rsidR="00D23139">
        <w:rPr>
          <w:rFonts w:ascii="Times New Roman" w:hAnsi="Times New Roman" w:cs="Times New Roman"/>
        </w:rPr>
        <w:t>:</w:t>
      </w:r>
    </w:p>
    <w:p w14:paraId="425F476C" w14:textId="25F77BCD" w:rsidR="00CF6F97" w:rsidRDefault="00B40450" w:rsidP="0096648D">
      <w:pPr>
        <w:widowControl w:val="0"/>
        <w:spacing w:after="240" w:line="240" w:lineRule="auto"/>
        <w:ind w:left="720" w:right="720"/>
        <w:jc w:val="both"/>
        <w:rPr>
          <w:rFonts w:ascii="Times New Roman" w:hAnsi="Times New Roman" w:cs="Times New Roman"/>
        </w:rPr>
      </w:pPr>
      <w:r w:rsidRPr="00B40450">
        <w:rPr>
          <w:rFonts w:ascii="Times New Roman" w:hAnsi="Times New Roman" w:cs="Times New Roman"/>
        </w:rPr>
        <w:t xml:space="preserve">Another objective of the regulations under </w:t>
      </w:r>
      <w:r w:rsidR="00AB638A">
        <w:rPr>
          <w:rFonts w:ascii="Times New Roman" w:hAnsi="Times New Roman" w:cs="Times New Roman"/>
        </w:rPr>
        <w:t>section</w:t>
      </w:r>
      <w:r w:rsidR="0005640A" w:rsidRPr="00B40450">
        <w:rPr>
          <w:rFonts w:ascii="Times New Roman" w:hAnsi="Times New Roman" w:cs="Times New Roman"/>
        </w:rPr>
        <w:t xml:space="preserve"> </w:t>
      </w:r>
      <w:r w:rsidRPr="00B40450">
        <w:rPr>
          <w:rFonts w:ascii="Times New Roman" w:hAnsi="Times New Roman" w:cs="Times New Roman"/>
        </w:rPr>
        <w:t xml:space="preserve">367(b) is to prevent the occurrence of a material distortion in income. For this purpose, a material distortion in income includes a distortion relating to the source, character, amount or timing of any item, if such distortion may materially affect the United States tax liability of any person for any year. Thus, for example, the regulations generally operate to prevent the avoidance of provisions such as </w:t>
      </w:r>
      <w:r w:rsidR="004A2B74">
        <w:rPr>
          <w:rFonts w:ascii="Times New Roman" w:hAnsi="Times New Roman" w:cs="Times New Roman"/>
        </w:rPr>
        <w:t>section</w:t>
      </w:r>
      <w:r w:rsidRPr="00B40450">
        <w:rPr>
          <w:rFonts w:ascii="Times New Roman" w:hAnsi="Times New Roman" w:cs="Times New Roman"/>
        </w:rPr>
        <w:t xml:space="preserve"> 1248 (which requires inclusion of certain gain on the disposition of stock as a dividend). For this purpose, the concept of ‘avoidance’ includes a transaction that results in a material distortion in income even if such distortion was not a purpose of the transaction.</w:t>
      </w:r>
      <w:r>
        <w:rPr>
          <w:rStyle w:val="FootnoteReference"/>
          <w:rFonts w:ascii="Times New Roman" w:hAnsi="Times New Roman" w:cs="Times New Roman"/>
        </w:rPr>
        <w:footnoteReference w:id="73"/>
      </w:r>
    </w:p>
    <w:p w14:paraId="72DEB6EA" w14:textId="41E3A9C0" w:rsidR="00DF2482" w:rsidRDefault="00A51F35" w:rsidP="0096648D">
      <w:pPr>
        <w:widowControl w:val="0"/>
        <w:spacing w:after="240" w:line="240" w:lineRule="auto"/>
        <w:rPr>
          <w:rFonts w:ascii="Times New Roman" w:hAnsi="Times New Roman" w:cs="Times New Roman"/>
        </w:rPr>
      </w:pPr>
      <w:r>
        <w:rPr>
          <w:rFonts w:ascii="Times New Roman" w:hAnsi="Times New Roman" w:cs="Times New Roman"/>
        </w:rPr>
        <w:t>Consistent with th</w:t>
      </w:r>
      <w:r w:rsidR="00E93A99">
        <w:rPr>
          <w:rFonts w:ascii="Times New Roman" w:hAnsi="Times New Roman" w:cs="Times New Roman"/>
        </w:rPr>
        <w:t>e distortion</w:t>
      </w:r>
      <w:r>
        <w:rPr>
          <w:rFonts w:ascii="Times New Roman" w:hAnsi="Times New Roman" w:cs="Times New Roman"/>
        </w:rPr>
        <w:t xml:space="preserve"> principle, the </w:t>
      </w:r>
      <w:r w:rsidR="001E598E">
        <w:rPr>
          <w:rFonts w:ascii="Times New Roman" w:hAnsi="Times New Roman" w:cs="Times New Roman"/>
        </w:rPr>
        <w:t xml:space="preserve">proposed </w:t>
      </w:r>
      <w:r w:rsidR="00CF6F97">
        <w:rPr>
          <w:rFonts w:ascii="Times New Roman" w:hAnsi="Times New Roman" w:cs="Times New Roman"/>
        </w:rPr>
        <w:t>regulations</w:t>
      </w:r>
      <w:r w:rsidR="00DD614F">
        <w:rPr>
          <w:rFonts w:ascii="Times New Roman" w:hAnsi="Times New Roman" w:cs="Times New Roman"/>
        </w:rPr>
        <w:t xml:space="preserve"> generally followed </w:t>
      </w:r>
      <w:r>
        <w:rPr>
          <w:rFonts w:ascii="Times New Roman" w:hAnsi="Times New Roman" w:cs="Times New Roman"/>
        </w:rPr>
        <w:t xml:space="preserve">the approach in the temporary regulations in requiring an inclusion of a 1248 amount </w:t>
      </w:r>
      <w:r w:rsidR="00E93A99">
        <w:rPr>
          <w:rFonts w:ascii="Times New Roman" w:hAnsi="Times New Roman" w:cs="Times New Roman"/>
        </w:rPr>
        <w:t xml:space="preserve">when, after a nonrecognition transaction, Code Sec. 1248 can no longer apply </w:t>
      </w:r>
      <w:r w:rsidR="00D020BA">
        <w:rPr>
          <w:rFonts w:ascii="Times New Roman" w:hAnsi="Times New Roman" w:cs="Times New Roman"/>
        </w:rPr>
        <w:t>to an exchanging shareholder’s sale of the stock of the foreign acquiring corporation</w:t>
      </w:r>
      <w:r w:rsidR="004F6493">
        <w:rPr>
          <w:rFonts w:ascii="Times New Roman" w:hAnsi="Times New Roman" w:cs="Times New Roman"/>
        </w:rPr>
        <w:t>.</w:t>
      </w:r>
      <w:r w:rsidR="002A3877">
        <w:rPr>
          <w:rStyle w:val="FootnoteReference"/>
          <w:rFonts w:ascii="Times New Roman" w:hAnsi="Times New Roman" w:cs="Times New Roman"/>
        </w:rPr>
        <w:footnoteReference w:id="74"/>
      </w:r>
      <w:r w:rsidR="00CB4917">
        <w:rPr>
          <w:rFonts w:ascii="Times New Roman" w:hAnsi="Times New Roman" w:cs="Times New Roman"/>
        </w:rPr>
        <w:t xml:space="preserve"> </w:t>
      </w:r>
    </w:p>
    <w:p w14:paraId="6A169C34" w14:textId="777C252F" w:rsidR="00901FE6" w:rsidRPr="00901FE6" w:rsidRDefault="00DF2482" w:rsidP="0096648D">
      <w:pPr>
        <w:widowControl w:val="0"/>
        <w:spacing w:after="240" w:line="240" w:lineRule="auto"/>
        <w:rPr>
          <w:rFonts w:ascii="Times New Roman" w:hAnsi="Times New Roman" w:cs="Times New Roman"/>
        </w:rPr>
      </w:pPr>
      <w:r>
        <w:rPr>
          <w:rFonts w:ascii="Times New Roman" w:hAnsi="Times New Roman" w:cs="Times New Roman"/>
        </w:rPr>
        <w:t xml:space="preserve">It should be noted that, while </w:t>
      </w:r>
      <w:r w:rsidR="001A261D">
        <w:rPr>
          <w:rFonts w:ascii="Times New Roman" w:hAnsi="Times New Roman" w:cs="Times New Roman"/>
        </w:rPr>
        <w:t xml:space="preserve">the rules applicable to inbound nonrecognition transactions are generally </w:t>
      </w:r>
      <w:r w:rsidR="006C49E5">
        <w:rPr>
          <w:rFonts w:ascii="Times New Roman" w:hAnsi="Times New Roman" w:cs="Times New Roman"/>
        </w:rPr>
        <w:t xml:space="preserve">discussed in the context of the </w:t>
      </w:r>
      <w:r w:rsidR="00D020BA">
        <w:rPr>
          <w:rFonts w:ascii="Times New Roman" w:hAnsi="Times New Roman" w:cs="Times New Roman"/>
        </w:rPr>
        <w:t xml:space="preserve">repatriation </w:t>
      </w:r>
      <w:r w:rsidR="006C49E5">
        <w:rPr>
          <w:rFonts w:ascii="Times New Roman" w:hAnsi="Times New Roman" w:cs="Times New Roman"/>
        </w:rPr>
        <w:t xml:space="preserve">principle, they are also intended to address the </w:t>
      </w:r>
      <w:r w:rsidR="00D020BA">
        <w:rPr>
          <w:rFonts w:ascii="Times New Roman" w:hAnsi="Times New Roman" w:cs="Times New Roman"/>
        </w:rPr>
        <w:t xml:space="preserve">distortion </w:t>
      </w:r>
      <w:r w:rsidR="006C49E5">
        <w:rPr>
          <w:rFonts w:ascii="Times New Roman" w:hAnsi="Times New Roman" w:cs="Times New Roman"/>
        </w:rPr>
        <w:t xml:space="preserve">principle. </w:t>
      </w:r>
      <w:r w:rsidR="00CA047A">
        <w:rPr>
          <w:rFonts w:ascii="Times New Roman" w:hAnsi="Times New Roman" w:cs="Times New Roman"/>
        </w:rPr>
        <w:t xml:space="preserve">The </w:t>
      </w:r>
      <w:r w:rsidR="00CB4917">
        <w:rPr>
          <w:rFonts w:ascii="Times New Roman" w:hAnsi="Times New Roman" w:cs="Times New Roman"/>
        </w:rPr>
        <w:t>preamble to the final regulat</w:t>
      </w:r>
      <w:r w:rsidR="00643CB3">
        <w:rPr>
          <w:rFonts w:ascii="Times New Roman" w:hAnsi="Times New Roman" w:cs="Times New Roman"/>
        </w:rPr>
        <w:t xml:space="preserve">ions </w:t>
      </w:r>
      <w:r w:rsidR="00D33745">
        <w:rPr>
          <w:rFonts w:ascii="Times New Roman" w:hAnsi="Times New Roman" w:cs="Times New Roman"/>
        </w:rPr>
        <w:t>addresses the dual function of these rule</w:t>
      </w:r>
      <w:r w:rsidR="00D020BA">
        <w:rPr>
          <w:rFonts w:ascii="Times New Roman" w:hAnsi="Times New Roman" w:cs="Times New Roman"/>
        </w:rPr>
        <w:t>s</w:t>
      </w:r>
      <w:r w:rsidR="00D33745">
        <w:rPr>
          <w:rFonts w:ascii="Times New Roman" w:hAnsi="Times New Roman" w:cs="Times New Roman"/>
        </w:rPr>
        <w:t>:</w:t>
      </w:r>
    </w:p>
    <w:p w14:paraId="5DC8BCB2" w14:textId="0BF0B323" w:rsidR="00CA047A" w:rsidRDefault="00901FE6" w:rsidP="0096648D">
      <w:pPr>
        <w:widowControl w:val="0"/>
        <w:spacing w:after="240" w:line="240" w:lineRule="auto"/>
        <w:ind w:left="720" w:right="720"/>
        <w:jc w:val="both"/>
        <w:rPr>
          <w:rFonts w:ascii="Times New Roman" w:hAnsi="Times New Roman" w:cs="Times New Roman"/>
        </w:rPr>
      </w:pPr>
      <w:r w:rsidRPr="00901FE6">
        <w:rPr>
          <w:rFonts w:ascii="Times New Roman" w:hAnsi="Times New Roman" w:cs="Times New Roman"/>
        </w:rPr>
        <w:t xml:space="preserve">The principal policy consideration of section 367(b) with respect to inbound nonrecognition transactions is the appropriate carryover of attributes from foreign to domestic corporations. </w:t>
      </w:r>
      <w:r w:rsidRPr="003B50D1">
        <w:rPr>
          <w:rFonts w:ascii="Times New Roman" w:hAnsi="Times New Roman" w:cs="Times New Roman"/>
          <w:i/>
          <w:iCs/>
        </w:rPr>
        <w:t xml:space="preserve">This consideration has interrelated shareholder-level and corporate-level components. At the shareholder level, the </w:t>
      </w:r>
      <w:r w:rsidR="004A2B74">
        <w:rPr>
          <w:rFonts w:ascii="Times New Roman" w:hAnsi="Times New Roman" w:cs="Times New Roman"/>
          <w:i/>
          <w:iCs/>
        </w:rPr>
        <w:t>section</w:t>
      </w:r>
      <w:r w:rsidRPr="003B50D1">
        <w:rPr>
          <w:rFonts w:ascii="Times New Roman" w:hAnsi="Times New Roman" w:cs="Times New Roman"/>
          <w:i/>
          <w:iCs/>
        </w:rPr>
        <w:t xml:space="preserve"> 367(b) regulations are concerned with the proper taxation of previously deferred earnings and profits.</w:t>
      </w:r>
      <w:r w:rsidRPr="00901FE6">
        <w:rPr>
          <w:rFonts w:ascii="Times New Roman" w:hAnsi="Times New Roman" w:cs="Times New Roman"/>
        </w:rPr>
        <w:t xml:space="preserve"> At the corporate level, the </w:t>
      </w:r>
      <w:r w:rsidR="004A2B74">
        <w:rPr>
          <w:rFonts w:ascii="Times New Roman" w:hAnsi="Times New Roman" w:cs="Times New Roman"/>
        </w:rPr>
        <w:t>section</w:t>
      </w:r>
      <w:r w:rsidRPr="00901FE6">
        <w:rPr>
          <w:rFonts w:ascii="Times New Roman" w:hAnsi="Times New Roman" w:cs="Times New Roman"/>
        </w:rPr>
        <w:t xml:space="preserve"> 367(b) regulations are concerned with both the extent and manner in which tax attributes carry over in light of the variations between the Code’s taxation of foreign and domestic corporations.</w:t>
      </w:r>
      <w:r w:rsidR="001669E0">
        <w:rPr>
          <w:rStyle w:val="FootnoteReference"/>
          <w:rFonts w:ascii="Times New Roman" w:hAnsi="Times New Roman" w:cs="Times New Roman"/>
        </w:rPr>
        <w:footnoteReference w:id="75"/>
      </w:r>
    </w:p>
    <w:p w14:paraId="684390F0" w14:textId="32C4F594" w:rsidR="007E0F62" w:rsidRPr="007E0F62" w:rsidRDefault="00E93A99" w:rsidP="005E68EE">
      <w:pPr>
        <w:pStyle w:val="Heading4"/>
        <w:widowControl w:val="0"/>
        <w:contextualSpacing w:val="0"/>
      </w:pPr>
      <w:r>
        <w:t>C</w:t>
      </w:r>
      <w:r w:rsidR="007E0F62">
        <w:t>omplexity</w:t>
      </w:r>
      <w:r>
        <w:t xml:space="preserve"> principle</w:t>
      </w:r>
    </w:p>
    <w:p w14:paraId="214B24DF" w14:textId="59F0356A" w:rsidR="00B40450" w:rsidRDefault="00F64BD0" w:rsidP="0096648D">
      <w:pPr>
        <w:widowControl w:val="0"/>
        <w:spacing w:after="240" w:line="240" w:lineRule="auto"/>
        <w:rPr>
          <w:rFonts w:ascii="Times New Roman" w:hAnsi="Times New Roman" w:cs="Times New Roman"/>
        </w:rPr>
      </w:pPr>
      <w:r>
        <w:rPr>
          <w:rFonts w:ascii="Times New Roman" w:hAnsi="Times New Roman" w:cs="Times New Roman"/>
        </w:rPr>
        <w:t>On t</w:t>
      </w:r>
      <w:r w:rsidR="00B40450">
        <w:rPr>
          <w:rFonts w:ascii="Times New Roman" w:hAnsi="Times New Roman" w:cs="Times New Roman"/>
        </w:rPr>
        <w:t xml:space="preserve">he </w:t>
      </w:r>
      <w:r w:rsidR="00916881">
        <w:rPr>
          <w:rFonts w:ascii="Times New Roman" w:hAnsi="Times New Roman" w:cs="Times New Roman"/>
        </w:rPr>
        <w:t xml:space="preserve">complexity </w:t>
      </w:r>
      <w:r w:rsidR="00B40450">
        <w:rPr>
          <w:rFonts w:ascii="Times New Roman" w:hAnsi="Times New Roman" w:cs="Times New Roman"/>
        </w:rPr>
        <w:t>principle</w:t>
      </w:r>
      <w:r>
        <w:rPr>
          <w:rFonts w:ascii="Times New Roman" w:hAnsi="Times New Roman" w:cs="Times New Roman"/>
        </w:rPr>
        <w:t xml:space="preserve">, </w:t>
      </w:r>
      <w:r w:rsidR="00B40450" w:rsidDel="00916881">
        <w:rPr>
          <w:rFonts w:ascii="Times New Roman" w:hAnsi="Times New Roman" w:cs="Times New Roman"/>
        </w:rPr>
        <w:t xml:space="preserve">the </w:t>
      </w:r>
      <w:r w:rsidR="00B40450">
        <w:rPr>
          <w:rFonts w:ascii="Times New Roman" w:hAnsi="Times New Roman" w:cs="Times New Roman"/>
        </w:rPr>
        <w:t>preamble</w:t>
      </w:r>
      <w:r w:rsidR="00916881">
        <w:rPr>
          <w:rFonts w:ascii="Times New Roman" w:hAnsi="Times New Roman" w:cs="Times New Roman"/>
        </w:rPr>
        <w:t xml:space="preserve"> to the proposed regulations</w:t>
      </w:r>
      <w:r w:rsidR="00B40450">
        <w:rPr>
          <w:rFonts w:ascii="Times New Roman" w:hAnsi="Times New Roman" w:cs="Times New Roman"/>
        </w:rPr>
        <w:t xml:space="preserve"> </w:t>
      </w:r>
      <w:r>
        <w:rPr>
          <w:rFonts w:ascii="Times New Roman" w:hAnsi="Times New Roman" w:cs="Times New Roman"/>
        </w:rPr>
        <w:t>explained</w:t>
      </w:r>
      <w:r w:rsidR="00B40450">
        <w:rPr>
          <w:rFonts w:ascii="Times New Roman" w:hAnsi="Times New Roman" w:cs="Times New Roman"/>
        </w:rPr>
        <w:t xml:space="preserve">: </w:t>
      </w:r>
    </w:p>
    <w:p w14:paraId="43AE3202" w14:textId="3E3800FD" w:rsidR="0064586F" w:rsidRDefault="00B40450" w:rsidP="0096648D">
      <w:pPr>
        <w:widowControl w:val="0"/>
        <w:spacing w:after="240" w:line="240" w:lineRule="auto"/>
        <w:ind w:left="720" w:right="720"/>
        <w:jc w:val="both"/>
        <w:rPr>
          <w:rFonts w:ascii="Times New Roman" w:hAnsi="Times New Roman" w:cs="Times New Roman"/>
        </w:rPr>
      </w:pPr>
      <w:r w:rsidRPr="00B40450">
        <w:rPr>
          <w:rFonts w:ascii="Times New Roman" w:hAnsi="Times New Roman" w:cs="Times New Roman"/>
        </w:rPr>
        <w:t xml:space="preserve">The regulations under </w:t>
      </w:r>
      <w:r w:rsidR="004A2B74">
        <w:rPr>
          <w:rFonts w:ascii="Times New Roman" w:hAnsi="Times New Roman" w:cs="Times New Roman"/>
        </w:rPr>
        <w:t xml:space="preserve">section </w:t>
      </w:r>
      <w:r w:rsidRPr="00B40450">
        <w:rPr>
          <w:rFonts w:ascii="Times New Roman" w:hAnsi="Times New Roman" w:cs="Times New Roman"/>
        </w:rPr>
        <w:t>367(b) also generally attempt to minimize complexity to the extent not inconsistent with principles (1) and (2), in order to reduce taxpayer compliance burdens and the Treasury’s administrative costs, and to improve enforcement of the tax laws. In addition, in some cases the regulations adopt a rule that has the effect of minimizing complexity even though the rule is to some extent a departure from principles (1) and (2). In those instances in which minimizing complexity results in a departure from principles (1) and (2), the taxpayer is sometimes treated more favorably and sometimes less favorably than if the regulations had not taken complexity into account.</w:t>
      </w:r>
      <w:r>
        <w:rPr>
          <w:rStyle w:val="FootnoteReference"/>
          <w:rFonts w:ascii="Times New Roman" w:hAnsi="Times New Roman" w:cs="Times New Roman"/>
        </w:rPr>
        <w:footnoteReference w:id="76"/>
      </w:r>
      <w:r w:rsidRPr="00B40450">
        <w:rPr>
          <w:rFonts w:ascii="Times New Roman" w:hAnsi="Times New Roman" w:cs="Times New Roman"/>
        </w:rPr>
        <w:t xml:space="preserve"> </w:t>
      </w:r>
    </w:p>
    <w:p w14:paraId="0A2C5B6A" w14:textId="68D131B7" w:rsidR="00B40450" w:rsidRPr="00B40450" w:rsidRDefault="003B5E14" w:rsidP="0096648D">
      <w:pPr>
        <w:widowControl w:val="0"/>
        <w:spacing w:after="240" w:line="240" w:lineRule="auto"/>
        <w:jc w:val="both"/>
        <w:rPr>
          <w:rFonts w:ascii="Times New Roman" w:hAnsi="Times New Roman" w:cs="Times New Roman"/>
        </w:rPr>
      </w:pPr>
      <w:r>
        <w:rPr>
          <w:rFonts w:ascii="Times New Roman" w:hAnsi="Times New Roman" w:cs="Times New Roman"/>
        </w:rPr>
        <w:lastRenderedPageBreak/>
        <w:t>Consistent with th</w:t>
      </w:r>
      <w:r w:rsidR="00916881">
        <w:rPr>
          <w:rFonts w:ascii="Times New Roman" w:hAnsi="Times New Roman" w:cs="Times New Roman"/>
        </w:rPr>
        <w:t>e</w:t>
      </w:r>
      <w:r>
        <w:rPr>
          <w:rFonts w:ascii="Times New Roman" w:hAnsi="Times New Roman" w:cs="Times New Roman"/>
        </w:rPr>
        <w:t xml:space="preserve"> </w:t>
      </w:r>
      <w:r w:rsidR="00916881">
        <w:rPr>
          <w:rFonts w:ascii="Times New Roman" w:hAnsi="Times New Roman" w:cs="Times New Roman"/>
        </w:rPr>
        <w:t>complexity principle</w:t>
      </w:r>
      <w:r>
        <w:rPr>
          <w:rFonts w:ascii="Times New Roman" w:hAnsi="Times New Roman" w:cs="Times New Roman"/>
        </w:rPr>
        <w:t xml:space="preserve">, </w:t>
      </w:r>
      <w:r w:rsidR="00916881">
        <w:rPr>
          <w:rFonts w:ascii="Times New Roman" w:hAnsi="Times New Roman" w:cs="Times New Roman"/>
        </w:rPr>
        <w:t>in response to comments</w:t>
      </w:r>
      <w:r w:rsidR="0064586F" w:rsidDel="00916881">
        <w:rPr>
          <w:rFonts w:ascii="Times New Roman" w:hAnsi="Times New Roman" w:cs="Times New Roman"/>
        </w:rPr>
        <w:t>,</w:t>
      </w:r>
      <w:r w:rsidR="0064586F">
        <w:rPr>
          <w:rFonts w:ascii="Times New Roman" w:hAnsi="Times New Roman" w:cs="Times New Roman"/>
        </w:rPr>
        <w:t xml:space="preserve"> the </w:t>
      </w:r>
      <w:r w:rsidR="00326BE3">
        <w:rPr>
          <w:rFonts w:ascii="Times New Roman" w:hAnsi="Times New Roman" w:cs="Times New Roman"/>
        </w:rPr>
        <w:t>proposed</w:t>
      </w:r>
      <w:r w:rsidR="0064586F">
        <w:rPr>
          <w:rFonts w:ascii="Times New Roman" w:hAnsi="Times New Roman" w:cs="Times New Roman"/>
        </w:rPr>
        <w:t xml:space="preserve"> regulations </w:t>
      </w:r>
      <w:r w:rsidR="00326BE3">
        <w:rPr>
          <w:rFonts w:ascii="Times New Roman" w:hAnsi="Times New Roman" w:cs="Times New Roman"/>
        </w:rPr>
        <w:t>eliminated</w:t>
      </w:r>
      <w:r w:rsidR="0064586F">
        <w:rPr>
          <w:rFonts w:ascii="Times New Roman" w:hAnsi="Times New Roman" w:cs="Times New Roman"/>
        </w:rPr>
        <w:t xml:space="preserve"> the attribution regime</w:t>
      </w:r>
      <w:r w:rsidR="00326BE3">
        <w:rPr>
          <w:rFonts w:ascii="Times New Roman" w:hAnsi="Times New Roman" w:cs="Times New Roman"/>
        </w:rPr>
        <w:t xml:space="preserve"> of the temporary regulations</w:t>
      </w:r>
      <w:r w:rsidR="0064586F">
        <w:rPr>
          <w:rFonts w:ascii="Times New Roman" w:hAnsi="Times New Roman" w:cs="Times New Roman"/>
        </w:rPr>
        <w:t xml:space="preserve">. Instead, </w:t>
      </w:r>
      <w:r w:rsidR="00F37D63">
        <w:rPr>
          <w:rFonts w:ascii="Times New Roman" w:hAnsi="Times New Roman" w:cs="Times New Roman"/>
        </w:rPr>
        <w:t>the proposed regulations either required an inclusion of an exchanging shareholder’s 1248</w:t>
      </w:r>
      <w:r w:rsidR="00437AF3">
        <w:rPr>
          <w:rFonts w:ascii="Times New Roman" w:hAnsi="Times New Roman" w:cs="Times New Roman"/>
        </w:rPr>
        <w:t xml:space="preserve"> </w:t>
      </w:r>
      <w:r w:rsidR="00F37D63">
        <w:rPr>
          <w:rFonts w:ascii="Times New Roman" w:hAnsi="Times New Roman" w:cs="Times New Roman"/>
        </w:rPr>
        <w:t>amount</w:t>
      </w:r>
      <w:r w:rsidR="00437AF3">
        <w:rPr>
          <w:rFonts w:ascii="Times New Roman" w:hAnsi="Times New Roman" w:cs="Times New Roman"/>
        </w:rPr>
        <w:t xml:space="preserve"> if the transaction “is of a type that is relatively likely to result in a material distortion in income</w:t>
      </w:r>
      <w:r w:rsidR="007E7962">
        <w:rPr>
          <w:rFonts w:ascii="Times New Roman" w:hAnsi="Times New Roman" w:cs="Times New Roman"/>
        </w:rPr>
        <w:t>,” or, if the transaction was not of such a type so</w:t>
      </w:r>
      <w:r w:rsidR="00437AF3">
        <w:rPr>
          <w:rFonts w:ascii="Times New Roman" w:hAnsi="Times New Roman" w:cs="Times New Roman"/>
        </w:rPr>
        <w:t xml:space="preserve"> that </w:t>
      </w:r>
      <w:r w:rsidR="007E7962">
        <w:rPr>
          <w:rFonts w:ascii="Times New Roman" w:hAnsi="Times New Roman" w:cs="Times New Roman"/>
        </w:rPr>
        <w:t>an</w:t>
      </w:r>
      <w:r w:rsidR="00437AF3">
        <w:rPr>
          <w:rFonts w:ascii="Times New Roman" w:hAnsi="Times New Roman" w:cs="Times New Roman"/>
        </w:rPr>
        <w:t xml:space="preserve"> inclusion was required, </w:t>
      </w:r>
      <w:r w:rsidR="007E7962">
        <w:rPr>
          <w:rFonts w:ascii="Times New Roman" w:hAnsi="Times New Roman" w:cs="Times New Roman"/>
        </w:rPr>
        <w:t>Code Sec. 1248(a) would apply to</w:t>
      </w:r>
      <w:r w:rsidR="007E7962" w:rsidRPr="007E7962">
        <w:rPr>
          <w:rFonts w:ascii="Times New Roman" w:hAnsi="Times New Roman" w:cs="Times New Roman"/>
        </w:rPr>
        <w:t xml:space="preserve"> post</w:t>
      </w:r>
      <w:r w:rsidR="007E7962">
        <w:rPr>
          <w:rFonts w:ascii="Times New Roman" w:hAnsi="Times New Roman" w:cs="Times New Roman"/>
        </w:rPr>
        <w:t>-</w:t>
      </w:r>
      <w:r w:rsidR="007E7962" w:rsidRPr="007E7962">
        <w:rPr>
          <w:rFonts w:ascii="Times New Roman" w:hAnsi="Times New Roman" w:cs="Times New Roman"/>
        </w:rPr>
        <w:t>transaction</w:t>
      </w:r>
      <w:r w:rsidR="007E7962">
        <w:rPr>
          <w:rFonts w:ascii="Times New Roman" w:hAnsi="Times New Roman" w:cs="Times New Roman"/>
        </w:rPr>
        <w:t xml:space="preserve"> </w:t>
      </w:r>
      <w:r w:rsidR="007E7962" w:rsidRPr="007E7962">
        <w:rPr>
          <w:rFonts w:ascii="Times New Roman" w:hAnsi="Times New Roman" w:cs="Times New Roman"/>
        </w:rPr>
        <w:t>exchanges</w:t>
      </w:r>
      <w:r w:rsidR="007E7962">
        <w:rPr>
          <w:rFonts w:ascii="Times New Roman" w:hAnsi="Times New Roman" w:cs="Times New Roman"/>
        </w:rPr>
        <w:t xml:space="preserve"> “</w:t>
      </w:r>
      <w:r w:rsidR="007E7962" w:rsidRPr="007E7962">
        <w:rPr>
          <w:rFonts w:ascii="Times New Roman" w:hAnsi="Times New Roman" w:cs="Times New Roman"/>
        </w:rPr>
        <w:t>without attempting to</w:t>
      </w:r>
      <w:r w:rsidR="007E7962">
        <w:rPr>
          <w:rFonts w:ascii="Times New Roman" w:hAnsi="Times New Roman" w:cs="Times New Roman"/>
        </w:rPr>
        <w:t xml:space="preserve"> </w:t>
      </w:r>
      <w:r w:rsidR="007E7962" w:rsidRPr="007E7962">
        <w:rPr>
          <w:rFonts w:ascii="Times New Roman" w:hAnsi="Times New Roman" w:cs="Times New Roman"/>
        </w:rPr>
        <w:t>keep track of the particular earnings, and</w:t>
      </w:r>
      <w:r w:rsidR="007E7962">
        <w:rPr>
          <w:rFonts w:ascii="Times New Roman" w:hAnsi="Times New Roman" w:cs="Times New Roman"/>
        </w:rPr>
        <w:t xml:space="preserve"> </w:t>
      </w:r>
      <w:r w:rsidR="007E7962" w:rsidRPr="007E7962">
        <w:rPr>
          <w:rFonts w:ascii="Times New Roman" w:hAnsi="Times New Roman" w:cs="Times New Roman"/>
        </w:rPr>
        <w:t>profits attributable to a particular</w:t>
      </w:r>
      <w:r w:rsidR="007E7962">
        <w:rPr>
          <w:rFonts w:ascii="Times New Roman" w:hAnsi="Times New Roman" w:cs="Times New Roman"/>
        </w:rPr>
        <w:t xml:space="preserve"> </w:t>
      </w:r>
      <w:r w:rsidR="007E7962" w:rsidRPr="007E7962">
        <w:rPr>
          <w:rFonts w:ascii="Times New Roman" w:hAnsi="Times New Roman" w:cs="Times New Roman"/>
        </w:rPr>
        <w:t>shareholder as under the attribution</w:t>
      </w:r>
      <w:r w:rsidR="007E7962">
        <w:rPr>
          <w:rFonts w:ascii="Times New Roman" w:hAnsi="Times New Roman" w:cs="Times New Roman"/>
        </w:rPr>
        <w:t xml:space="preserve"> </w:t>
      </w:r>
      <w:r w:rsidR="007E7962" w:rsidRPr="007E7962">
        <w:rPr>
          <w:rFonts w:ascii="Times New Roman" w:hAnsi="Times New Roman" w:cs="Times New Roman"/>
        </w:rPr>
        <w:t>regime of the temporary regulations</w:t>
      </w:r>
      <w:r w:rsidR="0064586F">
        <w:rPr>
          <w:rFonts w:ascii="Times New Roman" w:hAnsi="Times New Roman" w:cs="Times New Roman"/>
        </w:rPr>
        <w:t>.</w:t>
      </w:r>
      <w:r w:rsidR="005A1721">
        <w:rPr>
          <w:rFonts w:ascii="Times New Roman" w:hAnsi="Times New Roman" w:cs="Times New Roman"/>
        </w:rPr>
        <w:t>”</w:t>
      </w:r>
      <w:r w:rsidR="0064586F">
        <w:rPr>
          <w:rStyle w:val="FootnoteReference"/>
          <w:rFonts w:ascii="Times New Roman" w:hAnsi="Times New Roman" w:cs="Times New Roman"/>
        </w:rPr>
        <w:footnoteReference w:id="77"/>
      </w:r>
    </w:p>
    <w:p w14:paraId="09A95B93" w14:textId="3C6D3497" w:rsidR="00281D17" w:rsidRPr="00281D17" w:rsidRDefault="00E93A99" w:rsidP="005E68EE">
      <w:pPr>
        <w:pStyle w:val="Heading4"/>
        <w:widowControl w:val="0"/>
        <w:contextualSpacing w:val="0"/>
      </w:pPr>
      <w:r>
        <w:t>D</w:t>
      </w:r>
      <w:r w:rsidR="00281D17">
        <w:t>eferral</w:t>
      </w:r>
      <w:r>
        <w:t xml:space="preserve"> principle</w:t>
      </w:r>
    </w:p>
    <w:p w14:paraId="30B50BC4" w14:textId="4B9646D5" w:rsidR="00307CB8" w:rsidRPr="00307CB8" w:rsidRDefault="00916881" w:rsidP="0096648D">
      <w:pPr>
        <w:widowControl w:val="0"/>
        <w:spacing w:after="240" w:line="240" w:lineRule="auto"/>
        <w:rPr>
          <w:rFonts w:ascii="Times New Roman" w:hAnsi="Times New Roman" w:cs="Times New Roman"/>
        </w:rPr>
      </w:pPr>
      <w:r>
        <w:rPr>
          <w:rFonts w:ascii="Times New Roman" w:hAnsi="Times New Roman" w:cs="Times New Roman"/>
        </w:rPr>
        <w:t xml:space="preserve">On the </w:t>
      </w:r>
      <w:r w:rsidR="00307CB8">
        <w:rPr>
          <w:rFonts w:ascii="Times New Roman" w:hAnsi="Times New Roman" w:cs="Times New Roman"/>
        </w:rPr>
        <w:t>deferra</w:t>
      </w:r>
      <w:r w:rsidR="00307CB8" w:rsidDel="00916881">
        <w:rPr>
          <w:rFonts w:ascii="Times New Roman" w:hAnsi="Times New Roman" w:cs="Times New Roman"/>
        </w:rPr>
        <w:t>l</w:t>
      </w:r>
      <w:r>
        <w:rPr>
          <w:rFonts w:ascii="Times New Roman" w:hAnsi="Times New Roman" w:cs="Times New Roman"/>
        </w:rPr>
        <w:t xml:space="preserve"> principle, the</w:t>
      </w:r>
      <w:r w:rsidR="00307CB8">
        <w:rPr>
          <w:rFonts w:ascii="Times New Roman" w:hAnsi="Times New Roman" w:cs="Times New Roman"/>
        </w:rPr>
        <w:t xml:space="preserve"> preamble</w:t>
      </w:r>
      <w:r>
        <w:rPr>
          <w:rFonts w:ascii="Times New Roman" w:hAnsi="Times New Roman" w:cs="Times New Roman"/>
        </w:rPr>
        <w:t xml:space="preserve"> to the proposed regulations</w:t>
      </w:r>
      <w:r w:rsidR="00307CB8">
        <w:rPr>
          <w:rFonts w:ascii="Times New Roman" w:hAnsi="Times New Roman" w:cs="Times New Roman"/>
        </w:rPr>
        <w:t xml:space="preserve"> explained that “t</w:t>
      </w:r>
      <w:r w:rsidR="00307CB8" w:rsidRPr="00307CB8">
        <w:rPr>
          <w:rFonts w:ascii="Times New Roman" w:hAnsi="Times New Roman" w:cs="Times New Roman"/>
        </w:rPr>
        <w:t xml:space="preserve">o the extent not inconsistent with principles (1), (2), and (3), the regulations under </w:t>
      </w:r>
      <w:r w:rsidR="004A2B74">
        <w:rPr>
          <w:rFonts w:ascii="Times New Roman" w:hAnsi="Times New Roman" w:cs="Times New Roman"/>
        </w:rPr>
        <w:t>section</w:t>
      </w:r>
      <w:r w:rsidR="003B7CEC" w:rsidRPr="00307CB8">
        <w:rPr>
          <w:rFonts w:ascii="Times New Roman" w:hAnsi="Times New Roman" w:cs="Times New Roman"/>
        </w:rPr>
        <w:t xml:space="preserve"> </w:t>
      </w:r>
      <w:r w:rsidR="00307CB8" w:rsidRPr="00307CB8">
        <w:rPr>
          <w:rFonts w:ascii="Times New Roman" w:hAnsi="Times New Roman" w:cs="Times New Roman"/>
        </w:rPr>
        <w:t>367(b) generally do not operate to accelerate the recognition of income that is realized but which would not otherwise be recognized by reason of a nonrecognition provision of the Internal Revenue Code.</w:t>
      </w:r>
      <w:r w:rsidR="00307CB8">
        <w:rPr>
          <w:rFonts w:ascii="Times New Roman" w:hAnsi="Times New Roman" w:cs="Times New Roman"/>
        </w:rPr>
        <w:t>”</w:t>
      </w:r>
      <w:r w:rsidR="00307CB8">
        <w:rPr>
          <w:rStyle w:val="FootnoteReference"/>
          <w:rFonts w:ascii="Times New Roman" w:hAnsi="Times New Roman" w:cs="Times New Roman"/>
        </w:rPr>
        <w:footnoteReference w:id="78"/>
      </w:r>
    </w:p>
    <w:p w14:paraId="472EDF6F" w14:textId="58AE67E9" w:rsidR="00DA3A1E" w:rsidRPr="004F5F76" w:rsidRDefault="00DA3A1E" w:rsidP="0096648D">
      <w:pPr>
        <w:pStyle w:val="Heading3"/>
      </w:pPr>
      <w:r>
        <w:t>Final Regulations</w:t>
      </w:r>
    </w:p>
    <w:p w14:paraId="32EBA924" w14:textId="40A0E0AF" w:rsidR="00770182" w:rsidRDefault="000E46F1" w:rsidP="0096648D">
      <w:pPr>
        <w:widowControl w:val="0"/>
        <w:spacing w:after="240" w:line="240" w:lineRule="auto"/>
        <w:rPr>
          <w:rFonts w:ascii="Times New Roman" w:hAnsi="Times New Roman" w:cs="Times New Roman"/>
        </w:rPr>
      </w:pPr>
      <w:r>
        <w:rPr>
          <w:rFonts w:ascii="Times New Roman" w:hAnsi="Times New Roman" w:cs="Times New Roman"/>
        </w:rPr>
        <w:t>The 1991 proposed regulations were largely finalized in the 2000 final regulations</w:t>
      </w:r>
      <w:r w:rsidR="00321D17">
        <w:rPr>
          <w:rFonts w:ascii="Times New Roman" w:hAnsi="Times New Roman" w:cs="Times New Roman"/>
        </w:rPr>
        <w:t xml:space="preserve">, with certain modifications. </w:t>
      </w:r>
      <w:r w:rsidR="00770182">
        <w:rPr>
          <w:rFonts w:ascii="Times New Roman" w:hAnsi="Times New Roman" w:cs="Times New Roman"/>
        </w:rPr>
        <w:t xml:space="preserve">First, as discussed above, the </w:t>
      </w:r>
      <w:r w:rsidR="00770182" w:rsidRPr="00770182">
        <w:rPr>
          <w:rFonts w:ascii="Times New Roman" w:hAnsi="Times New Roman" w:cs="Times New Roman"/>
        </w:rPr>
        <w:t>proposed regulations would have allowed U</w:t>
      </w:r>
      <w:r w:rsidR="000269C7">
        <w:rPr>
          <w:rFonts w:ascii="Times New Roman" w:hAnsi="Times New Roman" w:cs="Times New Roman"/>
        </w:rPr>
        <w:t>.</w:t>
      </w:r>
      <w:r w:rsidR="00770182" w:rsidRPr="00770182">
        <w:rPr>
          <w:rFonts w:ascii="Times New Roman" w:hAnsi="Times New Roman" w:cs="Times New Roman"/>
        </w:rPr>
        <w:t>S</w:t>
      </w:r>
      <w:r w:rsidR="000269C7">
        <w:rPr>
          <w:rFonts w:ascii="Times New Roman" w:hAnsi="Times New Roman" w:cs="Times New Roman"/>
        </w:rPr>
        <w:t>.</w:t>
      </w:r>
      <w:r w:rsidR="00770182" w:rsidRPr="00770182">
        <w:rPr>
          <w:rFonts w:ascii="Times New Roman" w:hAnsi="Times New Roman" w:cs="Times New Roman"/>
        </w:rPr>
        <w:t xml:space="preserve"> shareholders to </w:t>
      </w:r>
      <w:r w:rsidR="00770182">
        <w:rPr>
          <w:rFonts w:ascii="Times New Roman" w:hAnsi="Times New Roman" w:cs="Times New Roman"/>
        </w:rPr>
        <w:t xml:space="preserve">make a taxable exchange election in order </w:t>
      </w:r>
      <w:r w:rsidR="00770182" w:rsidRPr="00770182">
        <w:rPr>
          <w:rFonts w:ascii="Times New Roman" w:hAnsi="Times New Roman" w:cs="Times New Roman"/>
        </w:rPr>
        <w:t xml:space="preserve">to recognize gain with respect to the stock in the foreign acquired corporation in lieu of including the </w:t>
      </w:r>
      <w:r w:rsidR="00770182">
        <w:rPr>
          <w:rFonts w:ascii="Times New Roman" w:hAnsi="Times New Roman" w:cs="Times New Roman"/>
        </w:rPr>
        <w:t>all E&amp;P amount</w:t>
      </w:r>
      <w:r w:rsidR="00770182" w:rsidRPr="00770182">
        <w:rPr>
          <w:rFonts w:ascii="Times New Roman" w:hAnsi="Times New Roman" w:cs="Times New Roman"/>
        </w:rPr>
        <w:t xml:space="preserve"> in income as a deemed dividend in exchange for a reduction to attributes to the extent the </w:t>
      </w:r>
      <w:r w:rsidR="00770182">
        <w:rPr>
          <w:rFonts w:ascii="Times New Roman" w:hAnsi="Times New Roman" w:cs="Times New Roman"/>
        </w:rPr>
        <w:t>all E&amp;P amount</w:t>
      </w:r>
      <w:r w:rsidR="00770182" w:rsidRPr="00770182">
        <w:rPr>
          <w:rFonts w:ascii="Times New Roman" w:hAnsi="Times New Roman" w:cs="Times New Roman"/>
        </w:rPr>
        <w:t xml:space="preserve"> exceeded the gain recognized</w:t>
      </w:r>
      <w:r w:rsidR="00770182">
        <w:rPr>
          <w:rFonts w:ascii="Times New Roman" w:hAnsi="Times New Roman" w:cs="Times New Roman"/>
        </w:rPr>
        <w:t>.</w:t>
      </w:r>
      <w:r w:rsidR="00770182">
        <w:rPr>
          <w:rStyle w:val="FootnoteReference"/>
          <w:rFonts w:ascii="Times New Roman" w:hAnsi="Times New Roman" w:cs="Times New Roman"/>
        </w:rPr>
        <w:footnoteReference w:id="79"/>
      </w:r>
      <w:r w:rsidR="00140D98">
        <w:rPr>
          <w:rFonts w:ascii="Times New Roman" w:hAnsi="Times New Roman" w:cs="Times New Roman"/>
        </w:rPr>
        <w:t xml:space="preserve"> </w:t>
      </w:r>
      <w:r w:rsidR="00770182" w:rsidRPr="00770182">
        <w:rPr>
          <w:rFonts w:ascii="Times New Roman" w:hAnsi="Times New Roman" w:cs="Times New Roman"/>
        </w:rPr>
        <w:t xml:space="preserve">This taxable exchange election was not adopted in the final regulations </w:t>
      </w:r>
      <w:r w:rsidR="00535608">
        <w:rPr>
          <w:rFonts w:ascii="Times New Roman" w:hAnsi="Times New Roman" w:cs="Times New Roman"/>
        </w:rPr>
        <w:t>on the grounds that it was</w:t>
      </w:r>
      <w:r w:rsidR="00892E79">
        <w:rPr>
          <w:rFonts w:ascii="Times New Roman" w:hAnsi="Times New Roman" w:cs="Times New Roman"/>
        </w:rPr>
        <w:t xml:space="preserve"> (1)</w:t>
      </w:r>
      <w:r w:rsidR="00770182" w:rsidRPr="00770182">
        <w:rPr>
          <w:rFonts w:ascii="Times New Roman" w:hAnsi="Times New Roman" w:cs="Times New Roman"/>
        </w:rPr>
        <w:t xml:space="preserve"> inconsistent with the polic</w:t>
      </w:r>
      <w:r w:rsidR="00892E79">
        <w:rPr>
          <w:rFonts w:ascii="Times New Roman" w:hAnsi="Times New Roman" w:cs="Times New Roman"/>
        </w:rPr>
        <w:t xml:space="preserve">y </w:t>
      </w:r>
      <w:r w:rsidR="00770182" w:rsidRPr="00770182">
        <w:rPr>
          <w:rFonts w:ascii="Times New Roman" w:hAnsi="Times New Roman" w:cs="Times New Roman"/>
        </w:rPr>
        <w:t xml:space="preserve">of </w:t>
      </w:r>
      <w:r w:rsidR="00B11388">
        <w:rPr>
          <w:rFonts w:ascii="Times New Roman" w:hAnsi="Times New Roman" w:cs="Times New Roman"/>
        </w:rPr>
        <w:t xml:space="preserve">Code Sec. </w:t>
      </w:r>
      <w:r w:rsidR="00770182" w:rsidRPr="00770182">
        <w:rPr>
          <w:rFonts w:ascii="Times New Roman" w:hAnsi="Times New Roman" w:cs="Times New Roman"/>
        </w:rPr>
        <w:t>367(b)</w:t>
      </w:r>
      <w:r w:rsidR="00535608">
        <w:rPr>
          <w:rFonts w:ascii="Times New Roman" w:hAnsi="Times New Roman" w:cs="Times New Roman"/>
        </w:rPr>
        <w:t xml:space="preserve"> </w:t>
      </w:r>
      <w:r w:rsidR="00892E79">
        <w:rPr>
          <w:rFonts w:ascii="Times New Roman" w:hAnsi="Times New Roman" w:cs="Times New Roman"/>
        </w:rPr>
        <w:t xml:space="preserve">that the shareholder </w:t>
      </w:r>
      <w:r w:rsidR="009874CA">
        <w:rPr>
          <w:rFonts w:ascii="Times New Roman" w:hAnsi="Times New Roman" w:cs="Times New Roman"/>
        </w:rPr>
        <w:t xml:space="preserve">inclusion </w:t>
      </w:r>
      <w:r w:rsidR="00892E79">
        <w:rPr>
          <w:rFonts w:ascii="Times New Roman" w:hAnsi="Times New Roman" w:cs="Times New Roman"/>
        </w:rPr>
        <w:t xml:space="preserve">should be calculate </w:t>
      </w:r>
      <w:r w:rsidR="009874CA">
        <w:rPr>
          <w:rFonts w:ascii="Times New Roman" w:hAnsi="Times New Roman" w:cs="Times New Roman"/>
        </w:rPr>
        <w:t xml:space="preserve">by </w:t>
      </w:r>
      <w:r w:rsidR="00892E79">
        <w:rPr>
          <w:rFonts w:ascii="Times New Roman" w:hAnsi="Times New Roman" w:cs="Times New Roman"/>
        </w:rPr>
        <w:t xml:space="preserve">reference to </w:t>
      </w:r>
      <w:r w:rsidR="009874CA">
        <w:rPr>
          <w:rFonts w:ascii="Times New Roman" w:hAnsi="Times New Roman" w:cs="Times New Roman"/>
        </w:rPr>
        <w:t>the all E&amp;P amount</w:t>
      </w:r>
      <w:r w:rsidR="00770182" w:rsidRPr="00770182">
        <w:rPr>
          <w:rFonts w:ascii="Times New Roman" w:hAnsi="Times New Roman" w:cs="Times New Roman"/>
        </w:rPr>
        <w:t>,</w:t>
      </w:r>
      <w:r w:rsidR="00892E79">
        <w:rPr>
          <w:rFonts w:ascii="Times New Roman" w:hAnsi="Times New Roman" w:cs="Times New Roman"/>
        </w:rPr>
        <w:t xml:space="preserve"> (2) </w:t>
      </w:r>
      <w:r w:rsidR="00892E79" w:rsidRPr="00892E79">
        <w:rPr>
          <w:rFonts w:ascii="Times New Roman" w:hAnsi="Times New Roman" w:cs="Times New Roman"/>
        </w:rPr>
        <w:t>added substantial complexity by requiring coordination between</w:t>
      </w:r>
      <w:r w:rsidR="00892E79">
        <w:rPr>
          <w:rFonts w:ascii="Times New Roman" w:hAnsi="Times New Roman" w:cs="Times New Roman"/>
        </w:rPr>
        <w:t xml:space="preserve"> the</w:t>
      </w:r>
      <w:r w:rsidR="00892E79" w:rsidRPr="00892E79">
        <w:rPr>
          <w:rFonts w:ascii="Times New Roman" w:hAnsi="Times New Roman" w:cs="Times New Roman"/>
        </w:rPr>
        <w:t xml:space="preserve"> electing</w:t>
      </w:r>
      <w:r w:rsidR="00892E79">
        <w:rPr>
          <w:rFonts w:ascii="Times New Roman" w:hAnsi="Times New Roman" w:cs="Times New Roman"/>
        </w:rPr>
        <w:t xml:space="preserve"> </w:t>
      </w:r>
      <w:r w:rsidR="00892E79" w:rsidRPr="00892E79">
        <w:rPr>
          <w:rFonts w:ascii="Times New Roman" w:hAnsi="Times New Roman" w:cs="Times New Roman"/>
        </w:rPr>
        <w:t>shareholders and the acquiring</w:t>
      </w:r>
      <w:r w:rsidR="00892E79">
        <w:rPr>
          <w:rFonts w:ascii="Times New Roman" w:hAnsi="Times New Roman" w:cs="Times New Roman"/>
        </w:rPr>
        <w:t xml:space="preserve"> </w:t>
      </w:r>
      <w:r w:rsidR="00892E79" w:rsidRPr="00892E79">
        <w:rPr>
          <w:rFonts w:ascii="Times New Roman" w:hAnsi="Times New Roman" w:cs="Times New Roman"/>
        </w:rPr>
        <w:t>corporation</w:t>
      </w:r>
      <w:r w:rsidR="00892E79">
        <w:rPr>
          <w:rFonts w:ascii="Times New Roman" w:hAnsi="Times New Roman" w:cs="Times New Roman"/>
        </w:rPr>
        <w:t xml:space="preserve"> to determine the attribute reductions, and (3) </w:t>
      </w:r>
      <w:r w:rsidR="00770182" w:rsidRPr="00770182">
        <w:rPr>
          <w:rFonts w:ascii="Times New Roman" w:hAnsi="Times New Roman" w:cs="Times New Roman"/>
        </w:rPr>
        <w:t>and potentially unfair to the un</w:t>
      </w:r>
      <w:r w:rsidR="00A273A5">
        <w:rPr>
          <w:rFonts w:ascii="Times New Roman" w:hAnsi="Times New Roman" w:cs="Times New Roman"/>
        </w:rPr>
        <w:t>-</w:t>
      </w:r>
      <w:r w:rsidR="00770182" w:rsidRPr="00770182">
        <w:rPr>
          <w:rFonts w:ascii="Times New Roman" w:hAnsi="Times New Roman" w:cs="Times New Roman"/>
        </w:rPr>
        <w:t xml:space="preserve">electing taxpayer, who </w:t>
      </w:r>
      <w:r w:rsidR="0098153C">
        <w:rPr>
          <w:rFonts w:ascii="Times New Roman" w:hAnsi="Times New Roman" w:cs="Times New Roman"/>
        </w:rPr>
        <w:t xml:space="preserve">economically </w:t>
      </w:r>
      <w:r w:rsidR="006C455A">
        <w:rPr>
          <w:rFonts w:ascii="Times New Roman" w:hAnsi="Times New Roman" w:cs="Times New Roman"/>
        </w:rPr>
        <w:t xml:space="preserve">bears some of </w:t>
      </w:r>
      <w:bookmarkStart w:id="9" w:name="OLE_LINK26"/>
      <w:r w:rsidR="006C455A">
        <w:rPr>
          <w:rFonts w:ascii="Times New Roman" w:hAnsi="Times New Roman" w:cs="Times New Roman"/>
        </w:rPr>
        <w:t>the sour and none of the sweet</w:t>
      </w:r>
      <w:bookmarkEnd w:id="9"/>
      <w:r w:rsidR="002F6090">
        <w:rPr>
          <w:rFonts w:ascii="Times New Roman" w:hAnsi="Times New Roman" w:cs="Times New Roman"/>
        </w:rPr>
        <w:t>.</w:t>
      </w:r>
      <w:r w:rsidR="00D90F31">
        <w:rPr>
          <w:rStyle w:val="FootnoteReference"/>
          <w:rFonts w:ascii="Times New Roman" w:hAnsi="Times New Roman" w:cs="Times New Roman"/>
        </w:rPr>
        <w:footnoteReference w:id="80"/>
      </w:r>
      <w:r w:rsidR="002F6090">
        <w:rPr>
          <w:rFonts w:ascii="Times New Roman" w:hAnsi="Times New Roman" w:cs="Times New Roman"/>
        </w:rPr>
        <w:t xml:space="preserve"> On this last point, the preamble provided the following example:</w:t>
      </w:r>
    </w:p>
    <w:p w14:paraId="31A4DAF3" w14:textId="150DFC2C" w:rsidR="002F6090" w:rsidRPr="002F6090" w:rsidRDefault="002F6090" w:rsidP="0096648D">
      <w:pPr>
        <w:widowControl w:val="0"/>
        <w:spacing w:after="240" w:line="240" w:lineRule="auto"/>
        <w:ind w:left="720" w:right="720"/>
        <w:jc w:val="both"/>
        <w:rPr>
          <w:rFonts w:ascii="Times New Roman" w:hAnsi="Times New Roman" w:cs="Times New Roman"/>
        </w:rPr>
      </w:pPr>
      <w:r w:rsidRPr="002F6090">
        <w:rPr>
          <w:rFonts w:ascii="Times New Roman" w:hAnsi="Times New Roman" w:cs="Times New Roman"/>
        </w:rPr>
        <w:t>For</w:t>
      </w:r>
      <w:r>
        <w:rPr>
          <w:rFonts w:ascii="Times New Roman" w:hAnsi="Times New Roman" w:cs="Times New Roman"/>
        </w:rPr>
        <w:t xml:space="preserve"> </w:t>
      </w:r>
      <w:r w:rsidRPr="002F6090">
        <w:rPr>
          <w:rFonts w:ascii="Times New Roman" w:hAnsi="Times New Roman" w:cs="Times New Roman"/>
        </w:rPr>
        <w:t>example, consider an inbound C, D, or</w:t>
      </w:r>
      <w:r>
        <w:rPr>
          <w:rFonts w:ascii="Times New Roman" w:hAnsi="Times New Roman" w:cs="Times New Roman"/>
        </w:rPr>
        <w:t xml:space="preserve"> </w:t>
      </w:r>
      <w:r w:rsidRPr="002F6090">
        <w:rPr>
          <w:rFonts w:ascii="Times New Roman" w:hAnsi="Times New Roman" w:cs="Times New Roman"/>
        </w:rPr>
        <w:t>F reorganization involving two U.S.</w:t>
      </w:r>
      <w:r>
        <w:rPr>
          <w:rFonts w:ascii="Times New Roman" w:hAnsi="Times New Roman" w:cs="Times New Roman"/>
        </w:rPr>
        <w:t xml:space="preserve"> </w:t>
      </w:r>
      <w:r w:rsidRPr="002F6090">
        <w:rPr>
          <w:rFonts w:ascii="Times New Roman" w:hAnsi="Times New Roman" w:cs="Times New Roman"/>
        </w:rPr>
        <w:t>shareholders of the foreign acquired</w:t>
      </w:r>
      <w:r>
        <w:rPr>
          <w:rFonts w:ascii="Times New Roman" w:hAnsi="Times New Roman" w:cs="Times New Roman"/>
        </w:rPr>
        <w:t xml:space="preserve"> </w:t>
      </w:r>
      <w:r w:rsidRPr="002F6090">
        <w:rPr>
          <w:rFonts w:ascii="Times New Roman" w:hAnsi="Times New Roman" w:cs="Times New Roman"/>
        </w:rPr>
        <w:t>corporation, one that makes the taxable</w:t>
      </w:r>
      <w:r>
        <w:rPr>
          <w:rFonts w:ascii="Times New Roman" w:hAnsi="Times New Roman" w:cs="Times New Roman"/>
        </w:rPr>
        <w:t xml:space="preserve"> </w:t>
      </w:r>
      <w:r w:rsidRPr="002F6090">
        <w:rPr>
          <w:rFonts w:ascii="Times New Roman" w:hAnsi="Times New Roman" w:cs="Times New Roman"/>
        </w:rPr>
        <w:t>exchange election (because its gain on</w:t>
      </w:r>
      <w:r>
        <w:rPr>
          <w:rFonts w:ascii="Times New Roman" w:hAnsi="Times New Roman" w:cs="Times New Roman"/>
        </w:rPr>
        <w:t xml:space="preserve"> </w:t>
      </w:r>
      <w:r w:rsidRPr="002F6090">
        <w:rPr>
          <w:rFonts w:ascii="Times New Roman" w:hAnsi="Times New Roman" w:cs="Times New Roman"/>
        </w:rPr>
        <w:t>the stock is less than its all earnings and</w:t>
      </w:r>
      <w:r>
        <w:rPr>
          <w:rFonts w:ascii="Times New Roman" w:hAnsi="Times New Roman" w:cs="Times New Roman"/>
        </w:rPr>
        <w:t xml:space="preserve"> </w:t>
      </w:r>
      <w:r w:rsidRPr="002F6090">
        <w:rPr>
          <w:rFonts w:ascii="Times New Roman" w:hAnsi="Times New Roman" w:cs="Times New Roman"/>
        </w:rPr>
        <w:t>profits amount) and one that does not.</w:t>
      </w:r>
      <w:r>
        <w:rPr>
          <w:rFonts w:ascii="Times New Roman" w:hAnsi="Times New Roman" w:cs="Times New Roman"/>
        </w:rPr>
        <w:t xml:space="preserve"> </w:t>
      </w:r>
      <w:r w:rsidRPr="002F6090">
        <w:rPr>
          <w:rFonts w:ascii="Times New Roman" w:hAnsi="Times New Roman" w:cs="Times New Roman"/>
        </w:rPr>
        <w:t>In connection with the electing</w:t>
      </w:r>
      <w:r>
        <w:rPr>
          <w:rFonts w:ascii="Times New Roman" w:hAnsi="Times New Roman" w:cs="Times New Roman"/>
        </w:rPr>
        <w:t xml:space="preserve"> </w:t>
      </w:r>
      <w:r w:rsidRPr="002F6090">
        <w:rPr>
          <w:rFonts w:ascii="Times New Roman" w:hAnsi="Times New Roman" w:cs="Times New Roman"/>
        </w:rPr>
        <w:t>shareholder’s taxable exchange election,</w:t>
      </w:r>
      <w:r>
        <w:rPr>
          <w:rFonts w:ascii="Times New Roman" w:hAnsi="Times New Roman" w:cs="Times New Roman"/>
        </w:rPr>
        <w:t xml:space="preserve"> </w:t>
      </w:r>
      <w:r w:rsidRPr="002F6090">
        <w:rPr>
          <w:rFonts w:ascii="Times New Roman" w:hAnsi="Times New Roman" w:cs="Times New Roman"/>
        </w:rPr>
        <w:t>the 1991 proposed regulations required</w:t>
      </w:r>
      <w:r>
        <w:rPr>
          <w:rFonts w:ascii="Times New Roman" w:hAnsi="Times New Roman" w:cs="Times New Roman"/>
        </w:rPr>
        <w:t xml:space="preserve"> </w:t>
      </w:r>
      <w:r w:rsidRPr="002F6090">
        <w:rPr>
          <w:rFonts w:ascii="Times New Roman" w:hAnsi="Times New Roman" w:cs="Times New Roman"/>
        </w:rPr>
        <w:t>a proportionate reduction in certain tax</w:t>
      </w:r>
      <w:r>
        <w:rPr>
          <w:rFonts w:ascii="Times New Roman" w:hAnsi="Times New Roman" w:cs="Times New Roman"/>
        </w:rPr>
        <w:t xml:space="preserve"> </w:t>
      </w:r>
      <w:r w:rsidRPr="002F6090">
        <w:rPr>
          <w:rFonts w:ascii="Times New Roman" w:hAnsi="Times New Roman" w:cs="Times New Roman"/>
        </w:rPr>
        <w:t>attributes of the foreign acquired</w:t>
      </w:r>
      <w:r>
        <w:rPr>
          <w:rFonts w:ascii="Times New Roman" w:hAnsi="Times New Roman" w:cs="Times New Roman"/>
        </w:rPr>
        <w:t xml:space="preserve"> </w:t>
      </w:r>
      <w:r w:rsidRPr="002F6090">
        <w:rPr>
          <w:rFonts w:ascii="Times New Roman" w:hAnsi="Times New Roman" w:cs="Times New Roman"/>
        </w:rPr>
        <w:t>corporation. This reduction effectively</w:t>
      </w:r>
      <w:r>
        <w:rPr>
          <w:rFonts w:ascii="Times New Roman" w:hAnsi="Times New Roman" w:cs="Times New Roman"/>
        </w:rPr>
        <w:t xml:space="preserve"> </w:t>
      </w:r>
      <w:r w:rsidRPr="002F6090">
        <w:rPr>
          <w:rFonts w:ascii="Times New Roman" w:hAnsi="Times New Roman" w:cs="Times New Roman"/>
        </w:rPr>
        <w:t>allowed the electing shareholder to</w:t>
      </w:r>
      <w:r>
        <w:rPr>
          <w:rFonts w:ascii="Times New Roman" w:hAnsi="Times New Roman" w:cs="Times New Roman"/>
        </w:rPr>
        <w:t xml:space="preserve"> </w:t>
      </w:r>
      <w:r w:rsidRPr="002F6090">
        <w:rPr>
          <w:rFonts w:ascii="Times New Roman" w:hAnsi="Times New Roman" w:cs="Times New Roman"/>
        </w:rPr>
        <w:t>transfer to the acquiring corporation the</w:t>
      </w:r>
      <w:r>
        <w:rPr>
          <w:rFonts w:ascii="Times New Roman" w:hAnsi="Times New Roman" w:cs="Times New Roman"/>
        </w:rPr>
        <w:t xml:space="preserve"> </w:t>
      </w:r>
      <w:r w:rsidRPr="002F6090">
        <w:rPr>
          <w:rFonts w:ascii="Times New Roman" w:hAnsi="Times New Roman" w:cs="Times New Roman"/>
        </w:rPr>
        <w:t>burden created by its decision not to</w:t>
      </w:r>
      <w:r>
        <w:rPr>
          <w:rFonts w:ascii="Times New Roman" w:hAnsi="Times New Roman" w:cs="Times New Roman"/>
        </w:rPr>
        <w:t xml:space="preserve"> </w:t>
      </w:r>
      <w:r w:rsidRPr="002F6090">
        <w:rPr>
          <w:rFonts w:ascii="Times New Roman" w:hAnsi="Times New Roman" w:cs="Times New Roman"/>
        </w:rPr>
        <w:t>include in income its full all earnings</w:t>
      </w:r>
      <w:r>
        <w:rPr>
          <w:rFonts w:ascii="Times New Roman" w:hAnsi="Times New Roman" w:cs="Times New Roman"/>
        </w:rPr>
        <w:t xml:space="preserve"> </w:t>
      </w:r>
      <w:r w:rsidRPr="002F6090">
        <w:rPr>
          <w:rFonts w:ascii="Times New Roman" w:hAnsi="Times New Roman" w:cs="Times New Roman"/>
        </w:rPr>
        <w:t>and profits amount and, thereby, to</w:t>
      </w:r>
      <w:r>
        <w:rPr>
          <w:rFonts w:ascii="Times New Roman" w:hAnsi="Times New Roman" w:cs="Times New Roman"/>
        </w:rPr>
        <w:t xml:space="preserve"> </w:t>
      </w:r>
      <w:r w:rsidRPr="002F6090">
        <w:rPr>
          <w:rFonts w:ascii="Times New Roman" w:hAnsi="Times New Roman" w:cs="Times New Roman"/>
        </w:rPr>
        <w:t>effectively shift a portion of this burden</w:t>
      </w:r>
      <w:r>
        <w:rPr>
          <w:rFonts w:ascii="Times New Roman" w:hAnsi="Times New Roman" w:cs="Times New Roman"/>
        </w:rPr>
        <w:t xml:space="preserve"> </w:t>
      </w:r>
      <w:r w:rsidRPr="002F6090">
        <w:rPr>
          <w:rFonts w:ascii="Times New Roman" w:hAnsi="Times New Roman" w:cs="Times New Roman"/>
        </w:rPr>
        <w:t>to the non-electing shareholder (that has</w:t>
      </w:r>
      <w:r w:rsidR="0098153C">
        <w:rPr>
          <w:rFonts w:ascii="Times New Roman" w:hAnsi="Times New Roman" w:cs="Times New Roman"/>
        </w:rPr>
        <w:t xml:space="preserve"> </w:t>
      </w:r>
      <w:r w:rsidRPr="002F6090">
        <w:rPr>
          <w:rFonts w:ascii="Times New Roman" w:hAnsi="Times New Roman" w:cs="Times New Roman"/>
        </w:rPr>
        <w:t>already paid U.S. tax on its full share of</w:t>
      </w:r>
      <w:r w:rsidR="0098153C">
        <w:rPr>
          <w:rFonts w:ascii="Times New Roman" w:hAnsi="Times New Roman" w:cs="Times New Roman"/>
        </w:rPr>
        <w:t xml:space="preserve"> </w:t>
      </w:r>
      <w:r w:rsidRPr="002F6090">
        <w:rPr>
          <w:rFonts w:ascii="Times New Roman" w:hAnsi="Times New Roman" w:cs="Times New Roman"/>
        </w:rPr>
        <w:t>the foreign corporation’s earnings and</w:t>
      </w:r>
      <w:r w:rsidR="0098153C">
        <w:rPr>
          <w:rFonts w:ascii="Times New Roman" w:hAnsi="Times New Roman" w:cs="Times New Roman"/>
        </w:rPr>
        <w:t xml:space="preserve"> </w:t>
      </w:r>
      <w:r w:rsidRPr="002F6090">
        <w:rPr>
          <w:rFonts w:ascii="Times New Roman" w:hAnsi="Times New Roman" w:cs="Times New Roman"/>
        </w:rPr>
        <w:t>profits).</w:t>
      </w:r>
      <w:r w:rsidR="00A93615">
        <w:rPr>
          <w:rStyle w:val="FootnoteReference"/>
          <w:rFonts w:ascii="Times New Roman" w:hAnsi="Times New Roman" w:cs="Times New Roman"/>
        </w:rPr>
        <w:footnoteReference w:id="81"/>
      </w:r>
    </w:p>
    <w:p w14:paraId="45623C0B" w14:textId="692ED1A7" w:rsidR="003266C1" w:rsidRDefault="0010408E" w:rsidP="0096648D">
      <w:pPr>
        <w:widowControl w:val="0"/>
        <w:spacing w:after="240" w:line="240" w:lineRule="auto"/>
        <w:rPr>
          <w:rFonts w:ascii="Times New Roman" w:hAnsi="Times New Roman" w:cs="Times New Roman"/>
        </w:rPr>
      </w:pPr>
      <w:r>
        <w:rPr>
          <w:rFonts w:ascii="Times New Roman" w:hAnsi="Times New Roman" w:cs="Times New Roman"/>
        </w:rPr>
        <w:t>Further, the</w:t>
      </w:r>
      <w:r w:rsidR="00D607BB" w:rsidRPr="00D607BB">
        <w:rPr>
          <w:rFonts w:ascii="Times New Roman" w:hAnsi="Times New Roman" w:cs="Times New Roman"/>
        </w:rPr>
        <w:t xml:space="preserve"> proposed regulations</w:t>
      </w:r>
      <w:r>
        <w:rPr>
          <w:rFonts w:ascii="Times New Roman" w:hAnsi="Times New Roman" w:cs="Times New Roman"/>
        </w:rPr>
        <w:t xml:space="preserve"> would have required</w:t>
      </w:r>
      <w:r w:rsidR="00D607BB" w:rsidRPr="00D607BB">
        <w:rPr>
          <w:rFonts w:ascii="Times New Roman" w:hAnsi="Times New Roman" w:cs="Times New Roman"/>
        </w:rPr>
        <w:t xml:space="preserve"> all small shareholders </w:t>
      </w:r>
      <w:r>
        <w:rPr>
          <w:rFonts w:ascii="Times New Roman" w:hAnsi="Times New Roman" w:cs="Times New Roman"/>
        </w:rPr>
        <w:t>to recognize</w:t>
      </w:r>
      <w:r w:rsidR="00D607BB" w:rsidRPr="00D607BB">
        <w:rPr>
          <w:rFonts w:ascii="Times New Roman" w:hAnsi="Times New Roman" w:cs="Times New Roman"/>
        </w:rPr>
        <w:t xml:space="preserve"> gain.</w:t>
      </w:r>
      <w:r w:rsidR="002E408E">
        <w:rPr>
          <w:rStyle w:val="FootnoteReference"/>
          <w:rFonts w:ascii="Times New Roman" w:hAnsi="Times New Roman" w:cs="Times New Roman"/>
        </w:rPr>
        <w:footnoteReference w:id="82"/>
      </w:r>
      <w:r w:rsidR="00D607BB" w:rsidRPr="00D607BB">
        <w:rPr>
          <w:rFonts w:ascii="Times New Roman" w:hAnsi="Times New Roman" w:cs="Times New Roman"/>
        </w:rPr>
        <w:t xml:space="preserve"> </w:t>
      </w:r>
      <w:r>
        <w:rPr>
          <w:rFonts w:ascii="Times New Roman" w:hAnsi="Times New Roman" w:cs="Times New Roman"/>
        </w:rPr>
        <w:t>As discussed above, this</w:t>
      </w:r>
      <w:r w:rsidR="00D607BB" w:rsidRPr="00D607BB">
        <w:rPr>
          <w:rFonts w:ascii="Times New Roman" w:hAnsi="Times New Roman" w:cs="Times New Roman"/>
        </w:rPr>
        <w:t xml:space="preserve"> rule was included based on administrative concerns, namely that the small </w:t>
      </w:r>
      <w:r w:rsidR="00D607BB" w:rsidRPr="00D607BB">
        <w:rPr>
          <w:rFonts w:ascii="Times New Roman" w:hAnsi="Times New Roman" w:cs="Times New Roman"/>
        </w:rPr>
        <w:lastRenderedPageBreak/>
        <w:t xml:space="preserve">shareholders would lack the information to compute its and the foreign acquired corporation would lack information about its shareholders’ inclusions to adjust its E&amp;P. </w:t>
      </w:r>
      <w:r w:rsidR="002B5697">
        <w:rPr>
          <w:rFonts w:ascii="Times New Roman" w:hAnsi="Times New Roman" w:cs="Times New Roman"/>
        </w:rPr>
        <w:t>Comment</w:t>
      </w:r>
      <w:r w:rsidR="00E346DA">
        <w:rPr>
          <w:rFonts w:ascii="Times New Roman" w:hAnsi="Times New Roman" w:cs="Times New Roman"/>
        </w:rPr>
        <w:t>ators</w:t>
      </w:r>
      <w:r w:rsidR="002B5697">
        <w:rPr>
          <w:rFonts w:ascii="Times New Roman" w:hAnsi="Times New Roman" w:cs="Times New Roman"/>
        </w:rPr>
        <w:t xml:space="preserve"> requested that the regulations permit small shareholders to make an election to include their all E&amp;P amount in lieu of </w:t>
      </w:r>
      <w:r w:rsidR="00E346DA">
        <w:rPr>
          <w:rFonts w:ascii="Times New Roman" w:hAnsi="Times New Roman" w:cs="Times New Roman"/>
        </w:rPr>
        <w:t>recognizing gain.</w:t>
      </w:r>
      <w:r w:rsidR="002E408E">
        <w:rPr>
          <w:rStyle w:val="FootnoteReference"/>
          <w:rFonts w:ascii="Times New Roman" w:hAnsi="Times New Roman" w:cs="Times New Roman"/>
        </w:rPr>
        <w:footnoteReference w:id="83"/>
      </w:r>
      <w:r w:rsidR="00E346DA">
        <w:rPr>
          <w:rFonts w:ascii="Times New Roman" w:hAnsi="Times New Roman" w:cs="Times New Roman"/>
        </w:rPr>
        <w:t xml:space="preserve"> </w:t>
      </w:r>
      <w:r w:rsidR="00E346DA" w:rsidRPr="00E346DA">
        <w:rPr>
          <w:rFonts w:ascii="Times New Roman" w:hAnsi="Times New Roman" w:cs="Times New Roman"/>
        </w:rPr>
        <w:t>Commentators also requested an</w:t>
      </w:r>
      <w:r w:rsidR="00E346DA">
        <w:rPr>
          <w:rFonts w:ascii="Times New Roman" w:hAnsi="Times New Roman" w:cs="Times New Roman"/>
        </w:rPr>
        <w:t xml:space="preserve"> </w:t>
      </w:r>
      <w:r w:rsidR="00E346DA" w:rsidRPr="00E346DA">
        <w:rPr>
          <w:rFonts w:ascii="Times New Roman" w:hAnsi="Times New Roman" w:cs="Times New Roman"/>
        </w:rPr>
        <w:t>election that would permit a domestic</w:t>
      </w:r>
      <w:r w:rsidR="00E346DA">
        <w:rPr>
          <w:rFonts w:ascii="Times New Roman" w:hAnsi="Times New Roman" w:cs="Times New Roman"/>
        </w:rPr>
        <w:t xml:space="preserve"> </w:t>
      </w:r>
      <w:r w:rsidR="00E346DA" w:rsidRPr="00E346DA">
        <w:rPr>
          <w:rFonts w:ascii="Times New Roman" w:hAnsi="Times New Roman" w:cs="Times New Roman"/>
        </w:rPr>
        <w:t>acquiring corporation to include in</w:t>
      </w:r>
      <w:r w:rsidR="00E346DA">
        <w:rPr>
          <w:rFonts w:ascii="Times New Roman" w:hAnsi="Times New Roman" w:cs="Times New Roman"/>
        </w:rPr>
        <w:t xml:space="preserve"> </w:t>
      </w:r>
      <w:r w:rsidR="00E346DA" w:rsidRPr="00E346DA">
        <w:rPr>
          <w:rFonts w:ascii="Times New Roman" w:hAnsi="Times New Roman" w:cs="Times New Roman"/>
        </w:rPr>
        <w:t xml:space="preserve">income the all </w:t>
      </w:r>
      <w:r w:rsidR="00E346DA">
        <w:rPr>
          <w:rFonts w:ascii="Times New Roman" w:hAnsi="Times New Roman" w:cs="Times New Roman"/>
        </w:rPr>
        <w:t>E&amp;P amounts on behalf of the small shareholders.</w:t>
      </w:r>
      <w:r w:rsidR="006A7D69">
        <w:rPr>
          <w:rStyle w:val="FootnoteReference"/>
          <w:rFonts w:ascii="Times New Roman" w:hAnsi="Times New Roman" w:cs="Times New Roman"/>
        </w:rPr>
        <w:footnoteReference w:id="84"/>
      </w:r>
      <w:r w:rsidR="00C07BE9">
        <w:rPr>
          <w:rFonts w:ascii="Times New Roman" w:hAnsi="Times New Roman" w:cs="Times New Roman"/>
        </w:rPr>
        <w:t xml:space="preserve"> </w:t>
      </w:r>
      <w:r>
        <w:rPr>
          <w:rFonts w:ascii="Times New Roman" w:hAnsi="Times New Roman" w:cs="Times New Roman"/>
        </w:rPr>
        <w:t>In response to</w:t>
      </w:r>
      <w:r w:rsidR="00C07BE9">
        <w:rPr>
          <w:rFonts w:ascii="Times New Roman" w:hAnsi="Times New Roman" w:cs="Times New Roman"/>
        </w:rPr>
        <w:t xml:space="preserve"> these</w:t>
      </w:r>
      <w:r>
        <w:rPr>
          <w:rFonts w:ascii="Times New Roman" w:hAnsi="Times New Roman" w:cs="Times New Roman"/>
        </w:rPr>
        <w:t xml:space="preserve"> comments,</w:t>
      </w:r>
      <w:r w:rsidR="00FF40A3">
        <w:rPr>
          <w:rFonts w:ascii="Times New Roman" w:hAnsi="Times New Roman" w:cs="Times New Roman"/>
        </w:rPr>
        <w:t xml:space="preserve"> </w:t>
      </w:r>
      <w:r>
        <w:rPr>
          <w:rFonts w:ascii="Times New Roman" w:hAnsi="Times New Roman" w:cs="Times New Roman"/>
        </w:rPr>
        <w:t>the final regu</w:t>
      </w:r>
      <w:r w:rsidR="00FF40A3">
        <w:rPr>
          <w:rFonts w:ascii="Times New Roman" w:hAnsi="Times New Roman" w:cs="Times New Roman"/>
        </w:rPr>
        <w:t>lations permitted small shareholders to make an election to include their all E&amp;P amount (the “</w:t>
      </w:r>
      <w:r w:rsidR="00FF40A3">
        <w:rPr>
          <w:rFonts w:ascii="Times New Roman" w:hAnsi="Times New Roman" w:cs="Times New Roman"/>
          <w:b/>
          <w:bCs/>
        </w:rPr>
        <w:t>all E&amp;P election</w:t>
      </w:r>
      <w:r w:rsidR="00FF40A3">
        <w:rPr>
          <w:rFonts w:ascii="Times New Roman" w:hAnsi="Times New Roman" w:cs="Times New Roman"/>
        </w:rPr>
        <w:t>”), but only if the foreign acquired corporation furnishes such shareholders adequate information to compute their all E&amp;P amount.</w:t>
      </w:r>
      <w:r w:rsidR="006A7D69">
        <w:rPr>
          <w:rStyle w:val="FootnoteReference"/>
          <w:rFonts w:ascii="Times New Roman" w:hAnsi="Times New Roman" w:cs="Times New Roman"/>
        </w:rPr>
        <w:footnoteReference w:id="85"/>
      </w:r>
      <w:r w:rsidR="006A7D69" w:rsidRPr="00D607BB">
        <w:rPr>
          <w:rFonts w:ascii="Times New Roman" w:hAnsi="Times New Roman" w:cs="Times New Roman"/>
        </w:rPr>
        <w:t xml:space="preserve"> </w:t>
      </w:r>
      <w:r w:rsidR="00C07BE9">
        <w:rPr>
          <w:rFonts w:ascii="Times New Roman" w:hAnsi="Times New Roman" w:cs="Times New Roman"/>
        </w:rPr>
        <w:t>However, Treasury and the IRS rejected the comment requesting an election to allow the domestic acquiring corporation to elect to include small shareholders’ all E&amp;P amounts</w:t>
      </w:r>
      <w:r w:rsidR="00ED132F">
        <w:rPr>
          <w:rFonts w:ascii="Times New Roman" w:hAnsi="Times New Roman" w:cs="Times New Roman"/>
        </w:rPr>
        <w:t>,</w:t>
      </w:r>
      <w:r w:rsidR="004A2B74">
        <w:rPr>
          <w:rFonts w:ascii="Times New Roman" w:hAnsi="Times New Roman" w:cs="Times New Roman"/>
        </w:rPr>
        <w:t xml:space="preserve"> </w:t>
      </w:r>
      <w:r w:rsidR="003266C1" w:rsidRPr="003266C1">
        <w:rPr>
          <w:rFonts w:ascii="Times New Roman" w:hAnsi="Times New Roman" w:cs="Times New Roman"/>
        </w:rPr>
        <w:t>citing “substantial administrative difficulties</w:t>
      </w:r>
      <w:r w:rsidR="004E2FF1">
        <w:rPr>
          <w:rFonts w:ascii="Times New Roman" w:hAnsi="Times New Roman" w:cs="Times New Roman"/>
        </w:rPr>
        <w:t>,”</w:t>
      </w:r>
      <w:r w:rsidR="003266C1" w:rsidRPr="003266C1">
        <w:rPr>
          <w:rFonts w:ascii="Times New Roman" w:hAnsi="Times New Roman" w:cs="Times New Roman"/>
        </w:rPr>
        <w:t xml:space="preserve"> namely being able to determine each small shareholder’s holding period</w:t>
      </w:r>
      <w:r w:rsidR="00D90F31">
        <w:rPr>
          <w:rFonts w:ascii="Times New Roman" w:hAnsi="Times New Roman" w:cs="Times New Roman"/>
        </w:rPr>
        <w:t xml:space="preserve"> in order to calculate this cumulative all E&amp;P inclusion.</w:t>
      </w:r>
      <w:r w:rsidR="00BD3581">
        <w:rPr>
          <w:rStyle w:val="FootnoteReference"/>
          <w:rFonts w:ascii="Times New Roman" w:hAnsi="Times New Roman" w:cs="Times New Roman"/>
        </w:rPr>
        <w:footnoteReference w:id="86"/>
      </w:r>
    </w:p>
    <w:p w14:paraId="51DE7A93" w14:textId="214827F8" w:rsidR="00533F62" w:rsidRDefault="0024211C" w:rsidP="0096648D">
      <w:pPr>
        <w:widowControl w:val="0"/>
        <w:spacing w:after="240" w:line="240" w:lineRule="auto"/>
        <w:rPr>
          <w:rFonts w:ascii="Times New Roman" w:hAnsi="Times New Roman" w:cs="Times New Roman"/>
        </w:rPr>
      </w:pPr>
      <w:r>
        <w:rPr>
          <w:rFonts w:ascii="Times New Roman" w:hAnsi="Times New Roman" w:cs="Times New Roman"/>
        </w:rPr>
        <w:t>B3 and B4</w:t>
      </w:r>
      <w:r w:rsidR="004D7CE3">
        <w:rPr>
          <w:rFonts w:ascii="Times New Roman" w:hAnsi="Times New Roman" w:cs="Times New Roman"/>
        </w:rPr>
        <w:t xml:space="preserve"> </w:t>
      </w:r>
      <w:r w:rsidR="00921066">
        <w:rPr>
          <w:rFonts w:ascii="Times New Roman" w:hAnsi="Times New Roman" w:cs="Times New Roman"/>
        </w:rPr>
        <w:t>have not materially changed since the 2000 final regulations</w:t>
      </w:r>
      <w:r w:rsidR="00D90F31">
        <w:rPr>
          <w:rFonts w:ascii="Times New Roman" w:hAnsi="Times New Roman" w:cs="Times New Roman"/>
        </w:rPr>
        <w:t xml:space="preserve">, except with </w:t>
      </w:r>
      <w:r w:rsidR="00921066">
        <w:rPr>
          <w:rFonts w:ascii="Times New Roman" w:hAnsi="Times New Roman" w:cs="Times New Roman"/>
        </w:rPr>
        <w:t xml:space="preserve">respect to rules relating to </w:t>
      </w:r>
      <w:r w:rsidR="00260EAA">
        <w:rPr>
          <w:rFonts w:ascii="Times New Roman" w:hAnsi="Times New Roman" w:cs="Times New Roman"/>
        </w:rPr>
        <w:t>the carryover of E&amp;P and foreign taxes in</w:t>
      </w:r>
      <w:r w:rsidR="00260EAA" w:rsidDel="0024211C">
        <w:rPr>
          <w:rFonts w:ascii="Times New Roman" w:hAnsi="Times New Roman" w:cs="Times New Roman"/>
        </w:rPr>
        <w:t xml:space="preserve"> </w:t>
      </w:r>
      <w:r>
        <w:rPr>
          <w:rFonts w:ascii="Times New Roman" w:hAnsi="Times New Roman" w:cs="Times New Roman"/>
        </w:rPr>
        <w:t>inbound nonrecognition transaction</w:t>
      </w:r>
      <w:r w:rsidR="002804B9">
        <w:rPr>
          <w:rFonts w:ascii="Times New Roman" w:hAnsi="Times New Roman" w:cs="Times New Roman"/>
        </w:rPr>
        <w:t>s</w:t>
      </w:r>
      <w:r w:rsidR="00A46F14">
        <w:rPr>
          <w:rFonts w:ascii="Times New Roman" w:hAnsi="Times New Roman" w:cs="Times New Roman"/>
        </w:rPr>
        <w:t xml:space="preserve"> that were finalized in 2006.</w:t>
      </w:r>
      <w:r w:rsidR="00A46F14">
        <w:rPr>
          <w:rStyle w:val="FootnoteReference"/>
          <w:rFonts w:ascii="Times New Roman" w:hAnsi="Times New Roman" w:cs="Times New Roman"/>
        </w:rPr>
        <w:footnoteReference w:id="87"/>
      </w:r>
    </w:p>
    <w:p w14:paraId="0E5AFA4A" w14:textId="3B5C17B9" w:rsidR="00533F62" w:rsidRPr="00052070" w:rsidRDefault="00533F62" w:rsidP="0096648D">
      <w:pPr>
        <w:pStyle w:val="Heading2"/>
        <w:widowControl w:val="0"/>
      </w:pPr>
      <w:r>
        <w:t>Where is Here?</w:t>
      </w:r>
    </w:p>
    <w:p w14:paraId="015DA529" w14:textId="0CCD1E09" w:rsidR="00B729FD" w:rsidRPr="00935669" w:rsidRDefault="0084359A" w:rsidP="0096648D">
      <w:pPr>
        <w:pStyle w:val="Heading3"/>
        <w:keepNext w:val="0"/>
        <w:keepLines w:val="0"/>
        <w:widowControl w:val="0"/>
        <w:numPr>
          <w:ilvl w:val="0"/>
          <w:numId w:val="32"/>
        </w:numPr>
        <w:ind w:left="1080"/>
      </w:pPr>
      <w:r>
        <w:t>Current Rules</w:t>
      </w:r>
    </w:p>
    <w:p w14:paraId="08A2E320" w14:textId="263A7F62" w:rsidR="00A41DC2" w:rsidRPr="00613020" w:rsidRDefault="00EF266A" w:rsidP="005E68EE">
      <w:pPr>
        <w:pStyle w:val="Heading4"/>
        <w:widowControl w:val="0"/>
        <w:numPr>
          <w:ilvl w:val="0"/>
          <w:numId w:val="48"/>
        </w:numPr>
        <w:contextualSpacing w:val="0"/>
      </w:pPr>
      <w:r>
        <w:t>B3</w:t>
      </w:r>
    </w:p>
    <w:p w14:paraId="7F6295C4" w14:textId="77777777" w:rsidR="00FA544A" w:rsidRDefault="0084359A" w:rsidP="0096648D">
      <w:pPr>
        <w:widowControl w:val="0"/>
        <w:spacing w:after="240" w:line="240" w:lineRule="auto"/>
        <w:rPr>
          <w:rFonts w:ascii="Times New Roman" w:hAnsi="Times New Roman" w:cs="Times New Roman"/>
        </w:rPr>
      </w:pPr>
      <w:r>
        <w:rPr>
          <w:rFonts w:ascii="Times New Roman" w:hAnsi="Times New Roman" w:cs="Times New Roman"/>
        </w:rPr>
        <w:t>B3</w:t>
      </w:r>
      <w:r w:rsidR="0043681F">
        <w:rPr>
          <w:rFonts w:ascii="Times New Roman" w:hAnsi="Times New Roman" w:cs="Times New Roman"/>
        </w:rPr>
        <w:t xml:space="preserve"> </w:t>
      </w:r>
      <w:r w:rsidR="00F333BF" w:rsidRPr="00F333BF">
        <w:rPr>
          <w:rFonts w:ascii="Times New Roman" w:hAnsi="Times New Roman" w:cs="Times New Roman"/>
        </w:rPr>
        <w:t>provide</w:t>
      </w:r>
      <w:r w:rsidR="0043681F">
        <w:rPr>
          <w:rFonts w:ascii="Times New Roman" w:hAnsi="Times New Roman" w:cs="Times New Roman"/>
        </w:rPr>
        <w:t>s</w:t>
      </w:r>
      <w:r w:rsidR="00F333BF" w:rsidRPr="00F333BF">
        <w:rPr>
          <w:rFonts w:ascii="Times New Roman" w:hAnsi="Times New Roman" w:cs="Times New Roman"/>
        </w:rPr>
        <w:t xml:space="preserve"> rules for </w:t>
      </w:r>
      <w:r w:rsidR="0038010B">
        <w:rPr>
          <w:rFonts w:ascii="Times New Roman" w:hAnsi="Times New Roman" w:cs="Times New Roman"/>
        </w:rPr>
        <w:t xml:space="preserve">certain inbound nonrecognition transactions, including </w:t>
      </w:r>
      <w:r w:rsidR="00F333BF" w:rsidRPr="00F333BF">
        <w:rPr>
          <w:rFonts w:ascii="Times New Roman" w:hAnsi="Times New Roman" w:cs="Times New Roman"/>
        </w:rPr>
        <w:t xml:space="preserve">an acquisition by a domestic corporation </w:t>
      </w:r>
      <w:r w:rsidR="00392B73">
        <w:rPr>
          <w:rFonts w:ascii="Times New Roman" w:hAnsi="Times New Roman" w:cs="Times New Roman"/>
        </w:rPr>
        <w:t xml:space="preserve">(a domestic acquiring corporation) </w:t>
      </w:r>
      <w:r w:rsidR="00F333BF" w:rsidRPr="00F333BF">
        <w:rPr>
          <w:rFonts w:ascii="Times New Roman" w:hAnsi="Times New Roman" w:cs="Times New Roman"/>
        </w:rPr>
        <w:t>of the assets of a foreign corporation</w:t>
      </w:r>
      <w:r w:rsidR="0038010B">
        <w:rPr>
          <w:rFonts w:ascii="Times New Roman" w:hAnsi="Times New Roman" w:cs="Times New Roman"/>
        </w:rPr>
        <w:t xml:space="preserve"> (a foreign acquired corporation)</w:t>
      </w:r>
      <w:r w:rsidR="00F333BF" w:rsidRPr="00F333BF">
        <w:rPr>
          <w:rFonts w:ascii="Times New Roman" w:hAnsi="Times New Roman" w:cs="Times New Roman"/>
        </w:rPr>
        <w:t xml:space="preserve"> </w:t>
      </w:r>
      <w:r w:rsidR="00C471F9">
        <w:rPr>
          <w:rFonts w:ascii="Times New Roman" w:hAnsi="Times New Roman" w:cs="Times New Roman"/>
        </w:rPr>
        <w:t xml:space="preserve">in a liquidation described in </w:t>
      </w:r>
      <w:r w:rsidR="00085E67">
        <w:rPr>
          <w:rFonts w:ascii="Times New Roman" w:hAnsi="Times New Roman" w:cs="Times New Roman"/>
        </w:rPr>
        <w:t xml:space="preserve">Code Sec. </w:t>
      </w:r>
      <w:r w:rsidR="00C471F9">
        <w:rPr>
          <w:rFonts w:ascii="Times New Roman" w:hAnsi="Times New Roman" w:cs="Times New Roman"/>
        </w:rPr>
        <w:t xml:space="preserve">332 or an </w:t>
      </w:r>
      <w:r w:rsidR="00F333BF" w:rsidRPr="00F333BF">
        <w:rPr>
          <w:rFonts w:ascii="Times New Roman" w:hAnsi="Times New Roman" w:cs="Times New Roman"/>
        </w:rPr>
        <w:t xml:space="preserve">asset acquisition described in </w:t>
      </w:r>
      <w:r w:rsidR="00085E67">
        <w:rPr>
          <w:rFonts w:ascii="Times New Roman" w:hAnsi="Times New Roman" w:cs="Times New Roman"/>
        </w:rPr>
        <w:t>Code Sec.</w:t>
      </w:r>
      <w:r w:rsidR="00F333BF" w:rsidRPr="00F333BF">
        <w:rPr>
          <w:rFonts w:ascii="Times New Roman" w:hAnsi="Times New Roman" w:cs="Times New Roman"/>
        </w:rPr>
        <w:t xml:space="preserve"> 368</w:t>
      </w:r>
      <w:r w:rsidR="00392B73">
        <w:rPr>
          <w:rFonts w:ascii="Times New Roman" w:hAnsi="Times New Roman" w:cs="Times New Roman"/>
        </w:rPr>
        <w:t xml:space="preserve"> (an inbound nonrecognition transaction)</w:t>
      </w:r>
      <w:r w:rsidR="00F333BF" w:rsidRPr="00F333BF">
        <w:rPr>
          <w:rFonts w:ascii="Times New Roman" w:hAnsi="Times New Roman" w:cs="Times New Roman"/>
        </w:rPr>
        <w:t>.</w:t>
      </w:r>
      <w:r w:rsidR="00C471F9">
        <w:rPr>
          <w:rStyle w:val="FootnoteReference"/>
          <w:rFonts w:ascii="Times New Roman" w:hAnsi="Times New Roman" w:cs="Times New Roman"/>
        </w:rPr>
        <w:footnoteReference w:id="88"/>
      </w:r>
      <w:r w:rsidR="00F333BF" w:rsidRPr="00F333BF">
        <w:rPr>
          <w:rFonts w:ascii="Times New Roman" w:hAnsi="Times New Roman" w:cs="Times New Roman"/>
        </w:rPr>
        <w:t xml:space="preserve"> </w:t>
      </w:r>
      <w:r w:rsidR="00FA544A">
        <w:rPr>
          <w:rFonts w:ascii="Times New Roman" w:hAnsi="Times New Roman" w:cs="Times New Roman"/>
        </w:rPr>
        <w:t>In respect to the corporate-level consequences, under B3, a domestic acquiring corporation does not inherit net operating losses (“</w:t>
      </w:r>
      <w:r w:rsidR="00FA544A" w:rsidRPr="00F45E63">
        <w:rPr>
          <w:rFonts w:ascii="Times New Roman" w:hAnsi="Times New Roman" w:cs="Times New Roman"/>
          <w:b/>
        </w:rPr>
        <w:t>NOLs</w:t>
      </w:r>
      <w:r w:rsidR="00FA544A">
        <w:rPr>
          <w:rFonts w:ascii="Times New Roman" w:hAnsi="Times New Roman" w:cs="Times New Roman"/>
        </w:rPr>
        <w:t>”), capital loss carryovers, or E&amp;P, except to the extent attributable to ECI.</w:t>
      </w:r>
      <w:r w:rsidR="00FA544A">
        <w:rPr>
          <w:rStyle w:val="FootnoteReference"/>
          <w:rFonts w:ascii="Times New Roman" w:hAnsi="Times New Roman" w:cs="Times New Roman"/>
        </w:rPr>
        <w:footnoteReference w:id="89"/>
      </w:r>
    </w:p>
    <w:p w14:paraId="71F1F38D" w14:textId="26B7D4AC" w:rsidR="00943787" w:rsidRPr="00F333BF" w:rsidRDefault="00392B73" w:rsidP="0096648D">
      <w:pPr>
        <w:widowControl w:val="0"/>
        <w:spacing w:after="240" w:line="240" w:lineRule="auto"/>
        <w:rPr>
          <w:rFonts w:ascii="Times New Roman" w:hAnsi="Times New Roman" w:cs="Times New Roman"/>
        </w:rPr>
      </w:pPr>
      <w:r>
        <w:rPr>
          <w:rFonts w:ascii="Times New Roman" w:hAnsi="Times New Roman" w:cs="Times New Roman"/>
        </w:rPr>
        <w:t xml:space="preserve">These rules </w:t>
      </w:r>
      <w:r w:rsidR="00FA544A">
        <w:rPr>
          <w:rFonts w:ascii="Times New Roman" w:hAnsi="Times New Roman" w:cs="Times New Roman"/>
        </w:rPr>
        <w:t xml:space="preserve">also </w:t>
      </w:r>
      <w:r>
        <w:rPr>
          <w:rFonts w:ascii="Times New Roman" w:hAnsi="Times New Roman" w:cs="Times New Roman"/>
        </w:rPr>
        <w:t xml:space="preserve">have consequences </w:t>
      </w:r>
      <w:r w:rsidR="00622F64">
        <w:rPr>
          <w:rFonts w:ascii="Times New Roman" w:hAnsi="Times New Roman" w:cs="Times New Roman"/>
        </w:rPr>
        <w:t>for</w:t>
      </w:r>
      <w:r w:rsidR="00DF3CB5">
        <w:rPr>
          <w:rFonts w:ascii="Times New Roman" w:hAnsi="Times New Roman" w:cs="Times New Roman"/>
        </w:rPr>
        <w:t xml:space="preserve"> a</w:t>
      </w:r>
      <w:r w:rsidR="00CB6B2E">
        <w:rPr>
          <w:rFonts w:ascii="Times New Roman" w:hAnsi="Times New Roman" w:cs="Times New Roman"/>
        </w:rPr>
        <w:t>ny</w:t>
      </w:r>
      <w:r w:rsidR="00622F64">
        <w:rPr>
          <w:rFonts w:ascii="Times New Roman" w:hAnsi="Times New Roman" w:cs="Times New Roman"/>
        </w:rPr>
        <w:t xml:space="preserve"> </w:t>
      </w:r>
      <w:r w:rsidR="00DF3CB5">
        <w:rPr>
          <w:rFonts w:ascii="Times New Roman" w:hAnsi="Times New Roman" w:cs="Times New Roman"/>
        </w:rPr>
        <w:t>e</w:t>
      </w:r>
      <w:r w:rsidR="004250D7">
        <w:rPr>
          <w:rFonts w:ascii="Times New Roman" w:hAnsi="Times New Roman" w:cs="Times New Roman"/>
        </w:rPr>
        <w:t xml:space="preserve">xchanging </w:t>
      </w:r>
      <w:r w:rsidR="004A2B28">
        <w:rPr>
          <w:rFonts w:ascii="Times New Roman" w:hAnsi="Times New Roman" w:cs="Times New Roman"/>
        </w:rPr>
        <w:t xml:space="preserve">shareholder that </w:t>
      </w:r>
      <w:r w:rsidR="00DF3CB5">
        <w:rPr>
          <w:rFonts w:ascii="Times New Roman" w:hAnsi="Times New Roman" w:cs="Times New Roman"/>
        </w:rPr>
        <w:t>is a</w:t>
      </w:r>
      <w:r w:rsidR="004A2B28">
        <w:rPr>
          <w:rFonts w:ascii="Times New Roman" w:hAnsi="Times New Roman" w:cs="Times New Roman"/>
        </w:rPr>
        <w:t xml:space="preserve"> U.S. person</w:t>
      </w:r>
      <w:r w:rsidR="00DF3CB5">
        <w:rPr>
          <w:rFonts w:ascii="Times New Roman" w:hAnsi="Times New Roman" w:cs="Times New Roman"/>
        </w:rPr>
        <w:t xml:space="preserve"> or a </w:t>
      </w:r>
      <w:r w:rsidR="00D755A8">
        <w:rPr>
          <w:rFonts w:ascii="Times New Roman" w:hAnsi="Times New Roman" w:cs="Times New Roman"/>
        </w:rPr>
        <w:t>foreign corporation</w:t>
      </w:r>
      <w:r w:rsidR="00DF3CB5">
        <w:rPr>
          <w:rFonts w:ascii="Times New Roman" w:hAnsi="Times New Roman" w:cs="Times New Roman"/>
        </w:rPr>
        <w:t xml:space="preserve"> with a U.S. shareholder</w:t>
      </w:r>
      <w:r w:rsidR="00CB6B2E">
        <w:rPr>
          <w:rFonts w:ascii="Times New Roman" w:hAnsi="Times New Roman" w:cs="Times New Roman"/>
        </w:rPr>
        <w:t>, but</w:t>
      </w:r>
      <w:r w:rsidR="00CB6B2E" w:rsidRPr="00CB6B2E">
        <w:rPr>
          <w:rFonts w:ascii="Times New Roman" w:hAnsi="Times New Roman" w:cs="Times New Roman"/>
        </w:rPr>
        <w:t xml:space="preserve"> </w:t>
      </w:r>
      <w:r w:rsidR="00CB6B2E">
        <w:rPr>
          <w:rFonts w:ascii="Times New Roman" w:hAnsi="Times New Roman" w:cs="Times New Roman"/>
        </w:rPr>
        <w:t>no consequences</w:t>
      </w:r>
      <w:r w:rsidR="00D755A8">
        <w:rPr>
          <w:rFonts w:ascii="Times New Roman" w:hAnsi="Times New Roman" w:cs="Times New Roman"/>
        </w:rPr>
        <w:t xml:space="preserve"> for other</w:t>
      </w:r>
      <w:r w:rsidR="00CB6B2E">
        <w:rPr>
          <w:rFonts w:ascii="Times New Roman" w:hAnsi="Times New Roman" w:cs="Times New Roman"/>
        </w:rPr>
        <w:t xml:space="preserve"> foreign shareholders.</w:t>
      </w:r>
      <w:r w:rsidR="00FA544A">
        <w:rPr>
          <w:rFonts w:ascii="Times New Roman" w:hAnsi="Times New Roman" w:cs="Times New Roman"/>
        </w:rPr>
        <w:t xml:space="preserve"> </w:t>
      </w:r>
      <w:r w:rsidR="00C74C6A">
        <w:rPr>
          <w:rFonts w:ascii="Times New Roman" w:hAnsi="Times New Roman" w:cs="Times New Roman"/>
        </w:rPr>
        <w:t>The treatment of an</w:t>
      </w:r>
      <w:r w:rsidR="00FA544A">
        <w:rPr>
          <w:rFonts w:ascii="Times New Roman" w:hAnsi="Times New Roman" w:cs="Times New Roman"/>
        </w:rPr>
        <w:t xml:space="preserve"> in-scope </w:t>
      </w:r>
      <w:r w:rsidR="00C74C6A">
        <w:rPr>
          <w:rFonts w:ascii="Times New Roman" w:hAnsi="Times New Roman" w:cs="Times New Roman"/>
        </w:rPr>
        <w:t xml:space="preserve">exchanging shareholder </w:t>
      </w:r>
      <w:r w:rsidR="00BE1972">
        <w:rPr>
          <w:rFonts w:ascii="Times New Roman" w:hAnsi="Times New Roman" w:cs="Times New Roman"/>
        </w:rPr>
        <w:t>differs depending on whether the shareholder is a U.S. shareholder (or a</w:t>
      </w:r>
      <w:r w:rsidR="00BE1972" w:rsidDel="00D755A8">
        <w:rPr>
          <w:rFonts w:ascii="Times New Roman" w:hAnsi="Times New Roman" w:cs="Times New Roman"/>
        </w:rPr>
        <w:t xml:space="preserve"> </w:t>
      </w:r>
      <w:r w:rsidR="00BE1972" w:rsidDel="00FA544A">
        <w:rPr>
          <w:rFonts w:ascii="Times New Roman" w:hAnsi="Times New Roman" w:cs="Times New Roman"/>
        </w:rPr>
        <w:t>foreign corporation</w:t>
      </w:r>
      <w:r w:rsidR="00D755A8">
        <w:rPr>
          <w:rFonts w:ascii="Times New Roman" w:hAnsi="Times New Roman" w:cs="Times New Roman"/>
        </w:rPr>
        <w:t xml:space="preserve"> </w:t>
      </w:r>
      <w:r w:rsidR="00BE1972">
        <w:rPr>
          <w:rFonts w:ascii="Times New Roman" w:hAnsi="Times New Roman" w:cs="Times New Roman"/>
        </w:rPr>
        <w:t xml:space="preserve">with a U.S. shareholder) or is not a U.S. shareholder. </w:t>
      </w:r>
      <w:r w:rsidR="002805DC">
        <w:rPr>
          <w:rFonts w:ascii="Times New Roman" w:hAnsi="Times New Roman" w:cs="Times New Roman"/>
        </w:rPr>
        <w:t xml:space="preserve">An </w:t>
      </w:r>
      <w:r w:rsidR="00F333BF" w:rsidRPr="00F333BF">
        <w:rPr>
          <w:rFonts w:ascii="Times New Roman" w:hAnsi="Times New Roman" w:cs="Times New Roman"/>
        </w:rPr>
        <w:t>exchanging shareholder</w:t>
      </w:r>
      <w:r w:rsidR="002805DC">
        <w:rPr>
          <w:rFonts w:ascii="Times New Roman" w:hAnsi="Times New Roman" w:cs="Times New Roman"/>
        </w:rPr>
        <w:t xml:space="preserve"> that is a U.S. shareholder </w:t>
      </w:r>
      <w:r w:rsidR="00D755A8">
        <w:rPr>
          <w:rFonts w:ascii="Times New Roman" w:hAnsi="Times New Roman" w:cs="Times New Roman"/>
        </w:rPr>
        <w:t>or a foreign corporation with a U.S. shareholder</w:t>
      </w:r>
      <w:r w:rsidR="00D755A8" w:rsidDel="00D755A8">
        <w:rPr>
          <w:rFonts w:ascii="Times New Roman" w:hAnsi="Times New Roman" w:cs="Times New Roman"/>
        </w:rPr>
        <w:t xml:space="preserve"> </w:t>
      </w:r>
      <w:r w:rsidR="00D755A8">
        <w:rPr>
          <w:rFonts w:ascii="Times New Roman" w:hAnsi="Times New Roman" w:cs="Times New Roman"/>
        </w:rPr>
        <w:t>includes</w:t>
      </w:r>
      <w:r w:rsidR="002805DC">
        <w:rPr>
          <w:rFonts w:ascii="Times New Roman" w:hAnsi="Times New Roman" w:cs="Times New Roman"/>
        </w:rPr>
        <w:t xml:space="preserve"> in income,</w:t>
      </w:r>
      <w:r w:rsidR="00F333BF" w:rsidRPr="00F333BF">
        <w:rPr>
          <w:rFonts w:ascii="Times New Roman" w:hAnsi="Times New Roman" w:cs="Times New Roman"/>
        </w:rPr>
        <w:t xml:space="preserve"> as a deemed dividend, </w:t>
      </w:r>
      <w:r w:rsidR="001205C4">
        <w:rPr>
          <w:rFonts w:ascii="Times New Roman" w:hAnsi="Times New Roman" w:cs="Times New Roman"/>
        </w:rPr>
        <w:t>the all E&amp;P amount with re</w:t>
      </w:r>
      <w:r w:rsidR="00F333BF" w:rsidRPr="00F333BF">
        <w:rPr>
          <w:rFonts w:ascii="Times New Roman" w:hAnsi="Times New Roman" w:cs="Times New Roman"/>
        </w:rPr>
        <w:t>spect to its stock in the foreign acquired corporation.</w:t>
      </w:r>
      <w:r w:rsidR="001205C4">
        <w:rPr>
          <w:rStyle w:val="FootnoteReference"/>
          <w:rFonts w:ascii="Times New Roman" w:hAnsi="Times New Roman" w:cs="Times New Roman"/>
        </w:rPr>
        <w:footnoteReference w:id="90"/>
      </w:r>
      <w:r w:rsidR="00F333BF" w:rsidRPr="00F333BF">
        <w:rPr>
          <w:rFonts w:ascii="Times New Roman" w:hAnsi="Times New Roman" w:cs="Times New Roman"/>
        </w:rPr>
        <w:t xml:space="preserve"> </w:t>
      </w:r>
      <w:r w:rsidR="00F83C7A">
        <w:rPr>
          <w:rFonts w:ascii="Times New Roman" w:hAnsi="Times New Roman" w:cs="Times New Roman"/>
        </w:rPr>
        <w:t>The all E&amp;P amount</w:t>
      </w:r>
      <w:r w:rsidR="00F333BF" w:rsidRPr="00F333BF">
        <w:rPr>
          <w:rFonts w:ascii="Times New Roman" w:hAnsi="Times New Roman" w:cs="Times New Roman"/>
        </w:rPr>
        <w:t xml:space="preserve"> is defined as the net positive E&amp;P, if any, of the foreign acquired corporation</w:t>
      </w:r>
      <w:r w:rsidR="00B07850">
        <w:rPr>
          <w:rFonts w:ascii="Times New Roman" w:hAnsi="Times New Roman" w:cs="Times New Roman"/>
        </w:rPr>
        <w:t xml:space="preserve"> </w:t>
      </w:r>
      <w:r w:rsidR="00F333BF" w:rsidRPr="00F333BF">
        <w:rPr>
          <w:rFonts w:ascii="Times New Roman" w:hAnsi="Times New Roman" w:cs="Times New Roman"/>
        </w:rPr>
        <w:t>and attributable to the stock of such foreign acquired corporation.</w:t>
      </w:r>
      <w:r w:rsidR="00B07850">
        <w:rPr>
          <w:rStyle w:val="FootnoteReference"/>
          <w:rFonts w:ascii="Times New Roman" w:hAnsi="Times New Roman" w:cs="Times New Roman"/>
        </w:rPr>
        <w:footnoteReference w:id="91"/>
      </w:r>
      <w:r w:rsidR="00F333BF" w:rsidRPr="00F333BF">
        <w:rPr>
          <w:rFonts w:ascii="Times New Roman" w:hAnsi="Times New Roman" w:cs="Times New Roman"/>
        </w:rPr>
        <w:t xml:space="preserve"> </w:t>
      </w:r>
      <w:r w:rsidR="00077E34">
        <w:rPr>
          <w:rFonts w:ascii="Times New Roman" w:hAnsi="Times New Roman" w:cs="Times New Roman"/>
        </w:rPr>
        <w:t>A</w:t>
      </w:r>
      <w:r w:rsidR="00F333BF" w:rsidRPr="00F333BF">
        <w:rPr>
          <w:rFonts w:ascii="Times New Roman" w:hAnsi="Times New Roman" w:cs="Times New Roman"/>
        </w:rPr>
        <w:t xml:space="preserve"> foreign corporation’s E&amp;P is </w:t>
      </w:r>
      <w:r w:rsidR="00F333BF" w:rsidRPr="00F333BF">
        <w:rPr>
          <w:rFonts w:ascii="Times New Roman" w:hAnsi="Times New Roman" w:cs="Times New Roman"/>
        </w:rPr>
        <w:lastRenderedPageBreak/>
        <w:t xml:space="preserve">determined using principles substantially similar to those applicable to domestic corporations, except </w:t>
      </w:r>
      <w:r w:rsidR="00396B3C">
        <w:rPr>
          <w:rFonts w:ascii="Times New Roman" w:hAnsi="Times New Roman" w:cs="Times New Roman"/>
        </w:rPr>
        <w:t xml:space="preserve">excluding </w:t>
      </w:r>
      <w:r w:rsidR="00F333BF" w:rsidRPr="00F333BF">
        <w:rPr>
          <w:rFonts w:ascii="Times New Roman" w:hAnsi="Times New Roman" w:cs="Times New Roman"/>
        </w:rPr>
        <w:t xml:space="preserve">E&amp;P described in </w:t>
      </w:r>
      <w:r w:rsidR="00F83F17">
        <w:rPr>
          <w:rFonts w:ascii="Times New Roman" w:hAnsi="Times New Roman" w:cs="Times New Roman"/>
        </w:rPr>
        <w:t>Code Sec. </w:t>
      </w:r>
      <w:r w:rsidR="00F333BF" w:rsidRPr="00F333BF">
        <w:rPr>
          <w:rFonts w:ascii="Times New Roman" w:hAnsi="Times New Roman" w:cs="Times New Roman"/>
        </w:rPr>
        <w:t xml:space="preserve">1248(d) </w:t>
      </w:r>
      <w:r w:rsidR="00E227A6">
        <w:rPr>
          <w:rFonts w:ascii="Times New Roman" w:hAnsi="Times New Roman" w:cs="Times New Roman"/>
        </w:rPr>
        <w:t>(</w:t>
      </w:r>
      <w:r w:rsidR="006B1A0B">
        <w:rPr>
          <w:rFonts w:ascii="Times New Roman" w:hAnsi="Times New Roman" w:cs="Times New Roman"/>
          <w:i/>
          <w:iCs/>
        </w:rPr>
        <w:t>e.g.</w:t>
      </w:r>
      <w:r w:rsidR="006B1A0B">
        <w:rPr>
          <w:rFonts w:ascii="Times New Roman" w:hAnsi="Times New Roman" w:cs="Times New Roman"/>
        </w:rPr>
        <w:t xml:space="preserve">, </w:t>
      </w:r>
      <w:r w:rsidR="00E227A6">
        <w:rPr>
          <w:rFonts w:ascii="Times New Roman" w:hAnsi="Times New Roman" w:cs="Times New Roman"/>
        </w:rPr>
        <w:t>ECI and PTEP)</w:t>
      </w:r>
      <w:r w:rsidR="00F333BF" w:rsidRPr="00F333BF">
        <w:rPr>
          <w:rFonts w:ascii="Times New Roman" w:hAnsi="Times New Roman" w:cs="Times New Roman"/>
        </w:rPr>
        <w:t>.</w:t>
      </w:r>
      <w:r w:rsidR="00077E34">
        <w:rPr>
          <w:rStyle w:val="FootnoteReference"/>
          <w:rFonts w:ascii="Times New Roman" w:hAnsi="Times New Roman" w:cs="Times New Roman"/>
        </w:rPr>
        <w:footnoteReference w:id="92"/>
      </w:r>
      <w:r w:rsidR="00077E34">
        <w:rPr>
          <w:rFonts w:ascii="Times New Roman" w:hAnsi="Times New Roman" w:cs="Times New Roman"/>
        </w:rPr>
        <w:t xml:space="preserve"> </w:t>
      </w:r>
      <w:r w:rsidR="00BE3050">
        <w:rPr>
          <w:rFonts w:ascii="Times New Roman" w:hAnsi="Times New Roman" w:cs="Times New Roman"/>
        </w:rPr>
        <w:t>The</w:t>
      </w:r>
      <w:r w:rsidR="00F333BF" w:rsidRPr="00F333BF">
        <w:rPr>
          <w:rFonts w:ascii="Times New Roman" w:hAnsi="Times New Roman" w:cs="Times New Roman"/>
        </w:rPr>
        <w:t xml:space="preserve"> </w:t>
      </w:r>
      <w:r w:rsidR="009F37FC">
        <w:rPr>
          <w:rFonts w:ascii="Times New Roman" w:hAnsi="Times New Roman" w:cs="Times New Roman"/>
        </w:rPr>
        <w:t>E&amp;P is attributed to the stock of the foreign acquired corporation under the</w:t>
      </w:r>
      <w:r w:rsidR="00F333BF" w:rsidRPr="00F333BF" w:rsidDel="00C31158">
        <w:rPr>
          <w:rFonts w:ascii="Times New Roman" w:hAnsi="Times New Roman" w:cs="Times New Roman"/>
        </w:rPr>
        <w:t xml:space="preserve"> </w:t>
      </w:r>
      <w:r w:rsidR="00F333BF" w:rsidRPr="00F333BF" w:rsidDel="006B1A0B">
        <w:rPr>
          <w:rFonts w:ascii="Times New Roman" w:hAnsi="Times New Roman" w:cs="Times New Roman"/>
        </w:rPr>
        <w:t xml:space="preserve">principles of </w:t>
      </w:r>
      <w:r w:rsidR="000965F2">
        <w:rPr>
          <w:rFonts w:ascii="Times New Roman" w:hAnsi="Times New Roman" w:cs="Times New Roman"/>
        </w:rPr>
        <w:t xml:space="preserve">Code Sec. </w:t>
      </w:r>
      <w:r w:rsidR="00F333BF" w:rsidRPr="00F333BF">
        <w:rPr>
          <w:rFonts w:ascii="Times New Roman" w:hAnsi="Times New Roman" w:cs="Times New Roman"/>
        </w:rPr>
        <w:t>1248 and the regulations</w:t>
      </w:r>
      <w:r w:rsidR="00A86270">
        <w:rPr>
          <w:rFonts w:ascii="Times New Roman" w:hAnsi="Times New Roman" w:cs="Times New Roman"/>
        </w:rPr>
        <w:t xml:space="preserve"> thereunder</w:t>
      </w:r>
      <w:r w:rsidR="00F333BF" w:rsidRPr="00F333BF">
        <w:rPr>
          <w:rFonts w:ascii="Times New Roman" w:hAnsi="Times New Roman" w:cs="Times New Roman"/>
        </w:rPr>
        <w:t xml:space="preserve">, </w:t>
      </w:r>
      <w:r w:rsidR="00BE3050">
        <w:rPr>
          <w:rFonts w:ascii="Times New Roman" w:hAnsi="Times New Roman" w:cs="Times New Roman"/>
        </w:rPr>
        <w:t>except</w:t>
      </w:r>
      <w:r w:rsidR="006B1A0B">
        <w:rPr>
          <w:rFonts w:ascii="Times New Roman" w:hAnsi="Times New Roman" w:cs="Times New Roman"/>
        </w:rPr>
        <w:t xml:space="preserve"> that, for this purpose, </w:t>
      </w:r>
      <w:r w:rsidR="00793796" w:rsidRPr="00793796">
        <w:rPr>
          <w:rFonts w:ascii="Times New Roman" w:hAnsi="Times New Roman" w:cs="Times New Roman"/>
        </w:rPr>
        <w:t xml:space="preserve">without regard to the requirements of </w:t>
      </w:r>
      <w:r w:rsidR="00B07850">
        <w:rPr>
          <w:rFonts w:ascii="Times New Roman" w:hAnsi="Times New Roman" w:cs="Times New Roman"/>
        </w:rPr>
        <w:t xml:space="preserve">Code Sec. </w:t>
      </w:r>
      <w:r w:rsidR="00793796" w:rsidRPr="00793796">
        <w:rPr>
          <w:rFonts w:ascii="Times New Roman" w:hAnsi="Times New Roman" w:cs="Times New Roman"/>
        </w:rPr>
        <w:t xml:space="preserve">1248 that are not relevant to the determination of a shareholder's </w:t>
      </w:r>
      <w:r w:rsidR="00793796" w:rsidRPr="00BF21F3">
        <w:rPr>
          <w:rFonts w:ascii="Times New Roman" w:hAnsi="Times New Roman" w:cs="Times New Roman"/>
          <w:i/>
        </w:rPr>
        <w:t>pro rata</w:t>
      </w:r>
      <w:r w:rsidR="00793796" w:rsidRPr="00793796">
        <w:rPr>
          <w:rFonts w:ascii="Times New Roman" w:hAnsi="Times New Roman" w:cs="Times New Roman"/>
        </w:rPr>
        <w:t xml:space="preserve"> portion of </w:t>
      </w:r>
      <w:r w:rsidR="00B07850">
        <w:rPr>
          <w:rFonts w:ascii="Times New Roman" w:hAnsi="Times New Roman" w:cs="Times New Roman"/>
        </w:rPr>
        <w:t>E&amp;P (</w:t>
      </w:r>
      <w:r w:rsidR="00B07850">
        <w:rPr>
          <w:rFonts w:ascii="Times New Roman" w:hAnsi="Times New Roman" w:cs="Times New Roman"/>
          <w:i/>
          <w:iCs/>
        </w:rPr>
        <w:t>e.g.</w:t>
      </w:r>
      <w:r w:rsidR="00B07850">
        <w:rPr>
          <w:rFonts w:ascii="Times New Roman" w:hAnsi="Times New Roman" w:cs="Times New Roman"/>
        </w:rPr>
        <w:t xml:space="preserve">, without regard to </w:t>
      </w:r>
      <w:r w:rsidR="00B07850" w:rsidRPr="00B07850">
        <w:rPr>
          <w:rFonts w:ascii="Times New Roman" w:hAnsi="Times New Roman" w:cs="Times New Roman"/>
        </w:rPr>
        <w:t xml:space="preserve">whether the foreign corporation </w:t>
      </w:r>
      <w:r w:rsidR="00B07850">
        <w:rPr>
          <w:rFonts w:ascii="Times New Roman" w:hAnsi="Times New Roman" w:cs="Times New Roman"/>
        </w:rPr>
        <w:t>is or was a</w:t>
      </w:r>
      <w:r w:rsidR="00B07850" w:rsidRPr="00B07850">
        <w:rPr>
          <w:rFonts w:ascii="Times New Roman" w:hAnsi="Times New Roman" w:cs="Times New Roman"/>
        </w:rPr>
        <w:t xml:space="preserve"> </w:t>
      </w:r>
      <w:r w:rsidR="00B07850">
        <w:rPr>
          <w:rFonts w:ascii="Times New Roman" w:hAnsi="Times New Roman" w:cs="Times New Roman"/>
        </w:rPr>
        <w:t xml:space="preserve">CFC, </w:t>
      </w:r>
      <w:r w:rsidR="00B07850" w:rsidRPr="00B07850">
        <w:rPr>
          <w:rFonts w:ascii="Times New Roman" w:hAnsi="Times New Roman" w:cs="Times New Roman"/>
        </w:rPr>
        <w:t xml:space="preserve">the shareholder </w:t>
      </w:r>
      <w:r w:rsidR="00B07850">
        <w:rPr>
          <w:rFonts w:ascii="Times New Roman" w:hAnsi="Times New Roman" w:cs="Times New Roman"/>
        </w:rPr>
        <w:t xml:space="preserve">owns or </w:t>
      </w:r>
      <w:r w:rsidR="00B07850" w:rsidRPr="00B07850">
        <w:rPr>
          <w:rFonts w:ascii="Times New Roman" w:hAnsi="Times New Roman" w:cs="Times New Roman"/>
        </w:rPr>
        <w:t>owned a</w:t>
      </w:r>
      <w:r w:rsidR="00A5108A">
        <w:rPr>
          <w:rFonts w:ascii="Times New Roman" w:hAnsi="Times New Roman" w:cs="Times New Roman"/>
        </w:rPr>
        <w:t xml:space="preserve"> </w:t>
      </w:r>
      <w:r w:rsidR="001A0BC7">
        <w:rPr>
          <w:rFonts w:ascii="Times New Roman" w:hAnsi="Times New Roman" w:cs="Times New Roman"/>
        </w:rPr>
        <w:t>ten</w:t>
      </w:r>
      <w:r w:rsidR="00793796" w:rsidRPr="00793796">
        <w:rPr>
          <w:rFonts w:ascii="Times New Roman" w:hAnsi="Times New Roman" w:cs="Times New Roman"/>
        </w:rPr>
        <w:t xml:space="preserve"> </w:t>
      </w:r>
      <w:r w:rsidR="00B07850" w:rsidRPr="00B07850">
        <w:rPr>
          <w:rFonts w:ascii="Times New Roman" w:hAnsi="Times New Roman" w:cs="Times New Roman"/>
        </w:rPr>
        <w:t xml:space="preserve">percent or greater interest in the stock, </w:t>
      </w:r>
      <w:r w:rsidR="00B07850">
        <w:rPr>
          <w:rFonts w:ascii="Times New Roman" w:hAnsi="Times New Roman" w:cs="Times New Roman"/>
        </w:rPr>
        <w:t>or the E&amp;P of the f</w:t>
      </w:r>
      <w:r w:rsidR="00B07850" w:rsidRPr="00B07850">
        <w:rPr>
          <w:rFonts w:ascii="Times New Roman" w:hAnsi="Times New Roman" w:cs="Times New Roman"/>
        </w:rPr>
        <w:t xml:space="preserve">oreign corporation were accumulated in post-1962 taxable years while the corporation was a </w:t>
      </w:r>
      <w:r w:rsidR="00B07850">
        <w:rPr>
          <w:rFonts w:ascii="Times New Roman" w:hAnsi="Times New Roman" w:cs="Times New Roman"/>
        </w:rPr>
        <w:t>CFC)</w:t>
      </w:r>
      <w:r w:rsidR="00793796" w:rsidRPr="00793796">
        <w:rPr>
          <w:rFonts w:ascii="Times New Roman" w:hAnsi="Times New Roman" w:cs="Times New Roman"/>
        </w:rPr>
        <w:t>.</w:t>
      </w:r>
      <w:r w:rsidR="00B07850">
        <w:rPr>
          <w:rStyle w:val="FootnoteReference"/>
          <w:rFonts w:ascii="Times New Roman" w:hAnsi="Times New Roman" w:cs="Times New Roman"/>
        </w:rPr>
        <w:footnoteReference w:id="93"/>
      </w:r>
      <w:r w:rsidR="00B07850">
        <w:rPr>
          <w:rFonts w:ascii="Times New Roman" w:hAnsi="Times New Roman" w:cs="Times New Roman"/>
        </w:rPr>
        <w:t xml:space="preserve"> I</w:t>
      </w:r>
      <w:r w:rsidR="00943787">
        <w:rPr>
          <w:rFonts w:ascii="Times New Roman" w:hAnsi="Times New Roman" w:cs="Times New Roman"/>
        </w:rPr>
        <w:t>f the exchanging shareholder is a foreign corporation, the foreign shareholder’s holding period in the stock of the foreign acquired corporation is determined by reference to the period that the foreign shareholder’s U.S. shareholders held (directly or indirectly) an interest in the foreign acquired corporation.</w:t>
      </w:r>
      <w:r w:rsidR="00943787">
        <w:rPr>
          <w:rStyle w:val="FootnoteReference"/>
          <w:rFonts w:ascii="Times New Roman" w:hAnsi="Times New Roman" w:cs="Times New Roman"/>
        </w:rPr>
        <w:footnoteReference w:id="94"/>
      </w:r>
    </w:p>
    <w:p w14:paraId="19FCC42B" w14:textId="2867FB72" w:rsidR="00183790" w:rsidRDefault="00D50D60" w:rsidP="005E68EE">
      <w:pPr>
        <w:widowControl w:val="0"/>
        <w:spacing w:after="240" w:line="240" w:lineRule="auto"/>
        <w:rPr>
          <w:rFonts w:ascii="Times New Roman" w:hAnsi="Times New Roman" w:cs="Times New Roman"/>
        </w:rPr>
      </w:pPr>
      <w:r w:rsidRPr="00EF266A">
        <w:rPr>
          <w:rFonts w:ascii="Times New Roman" w:hAnsi="Times New Roman" w:cs="Times New Roman"/>
        </w:rPr>
        <w:t xml:space="preserve">There are two rules in </w:t>
      </w:r>
      <w:r w:rsidR="003C128B">
        <w:rPr>
          <w:rFonts w:ascii="Times New Roman" w:hAnsi="Times New Roman" w:cs="Times New Roman"/>
        </w:rPr>
        <w:t>B3</w:t>
      </w:r>
      <w:r w:rsidRPr="00EF266A">
        <w:rPr>
          <w:rFonts w:ascii="Times New Roman" w:hAnsi="Times New Roman" w:cs="Times New Roman"/>
        </w:rPr>
        <w:t xml:space="preserve"> for </w:t>
      </w:r>
      <w:r w:rsidR="00A86270">
        <w:rPr>
          <w:rFonts w:ascii="Times New Roman" w:hAnsi="Times New Roman" w:cs="Times New Roman"/>
        </w:rPr>
        <w:t xml:space="preserve">small </w:t>
      </w:r>
      <w:r w:rsidR="008B6970" w:rsidRPr="00EF266A" w:rsidDel="00A86270">
        <w:rPr>
          <w:rFonts w:ascii="Times New Roman" w:hAnsi="Times New Roman" w:cs="Times New Roman"/>
        </w:rPr>
        <w:t>shareholders</w:t>
      </w:r>
      <w:r w:rsidRPr="00EF266A">
        <w:rPr>
          <w:rFonts w:ascii="Times New Roman" w:hAnsi="Times New Roman" w:cs="Times New Roman"/>
        </w:rPr>
        <w:t xml:space="preserve">. First, a </w:t>
      </w:r>
      <w:r w:rsidR="00A86270">
        <w:rPr>
          <w:rFonts w:ascii="Times New Roman" w:hAnsi="Times New Roman" w:cs="Times New Roman"/>
        </w:rPr>
        <w:t>small shareholder</w:t>
      </w:r>
      <w:r w:rsidRPr="00EF266A">
        <w:rPr>
          <w:rFonts w:ascii="Times New Roman" w:hAnsi="Times New Roman" w:cs="Times New Roman"/>
        </w:rPr>
        <w:t xml:space="preserve"> </w:t>
      </w:r>
      <w:r w:rsidR="00951156" w:rsidRPr="00EF266A">
        <w:rPr>
          <w:rFonts w:ascii="Times New Roman" w:hAnsi="Times New Roman" w:cs="Times New Roman"/>
        </w:rPr>
        <w:t xml:space="preserve">whose stock in the </w:t>
      </w:r>
      <w:r w:rsidR="00832CFE" w:rsidRPr="00EF266A">
        <w:rPr>
          <w:rFonts w:ascii="Times New Roman" w:hAnsi="Times New Roman" w:cs="Times New Roman"/>
        </w:rPr>
        <w:t xml:space="preserve">foreign acquired corporation has a fair market value of more than $50,000 is required to recognize gain </w:t>
      </w:r>
      <w:r w:rsidR="009B6259" w:rsidRPr="00EF266A">
        <w:rPr>
          <w:rFonts w:ascii="Times New Roman" w:hAnsi="Times New Roman" w:cs="Times New Roman"/>
        </w:rPr>
        <w:t>(but not loss) with respect to the stock of the foreign acquired corporation.</w:t>
      </w:r>
      <w:r w:rsidR="009B6259" w:rsidRPr="00EF266A">
        <w:rPr>
          <w:rStyle w:val="FootnoteReference"/>
          <w:rFonts w:ascii="Times New Roman" w:hAnsi="Times New Roman" w:cs="Times New Roman"/>
        </w:rPr>
        <w:footnoteReference w:id="95"/>
      </w:r>
      <w:r w:rsidR="004D04AC" w:rsidRPr="00EF266A">
        <w:rPr>
          <w:rFonts w:ascii="Times New Roman" w:hAnsi="Times New Roman" w:cs="Times New Roman"/>
        </w:rPr>
        <w:t xml:space="preserve"> </w:t>
      </w:r>
      <w:r w:rsidR="008B6970" w:rsidRPr="00EF266A">
        <w:rPr>
          <w:rFonts w:ascii="Times New Roman" w:hAnsi="Times New Roman" w:cs="Times New Roman"/>
        </w:rPr>
        <w:t>To the extent that the foreign acquired corporation provides the</w:t>
      </w:r>
      <w:r w:rsidR="00303752" w:rsidRPr="00EF266A">
        <w:rPr>
          <w:rFonts w:ascii="Times New Roman" w:hAnsi="Times New Roman" w:cs="Times New Roman"/>
        </w:rPr>
        <w:t xml:space="preserve"> exchanging shareholder with information that substantiates the shareholder</w:t>
      </w:r>
      <w:r w:rsidR="00DE3C8F">
        <w:rPr>
          <w:rFonts w:ascii="Times New Roman" w:hAnsi="Times New Roman" w:cs="Times New Roman"/>
        </w:rPr>
        <w:t>’</w:t>
      </w:r>
      <w:r w:rsidR="00303752" w:rsidRPr="00EF266A">
        <w:rPr>
          <w:rFonts w:ascii="Times New Roman" w:hAnsi="Times New Roman" w:cs="Times New Roman"/>
        </w:rPr>
        <w:t>s all E&amp;P amount and th</w:t>
      </w:r>
      <w:r w:rsidR="00C063F3" w:rsidRPr="00EF266A">
        <w:rPr>
          <w:rFonts w:ascii="Times New Roman" w:hAnsi="Times New Roman" w:cs="Times New Roman"/>
        </w:rPr>
        <w:t xml:space="preserve">e exchanging shareholder complies with certain notice requirements, </w:t>
      </w:r>
      <w:r w:rsidR="00C063F3" w:rsidRPr="00EF266A" w:rsidDel="00B07850">
        <w:rPr>
          <w:rFonts w:ascii="Times New Roman" w:hAnsi="Times New Roman" w:cs="Times New Roman"/>
        </w:rPr>
        <w:t xml:space="preserve">the </w:t>
      </w:r>
      <w:r w:rsidR="00B07850">
        <w:rPr>
          <w:rFonts w:ascii="Times New Roman" w:hAnsi="Times New Roman" w:cs="Times New Roman"/>
        </w:rPr>
        <w:t>exchanging small</w:t>
      </w:r>
      <w:r w:rsidR="00C063F3" w:rsidRPr="00EF266A">
        <w:rPr>
          <w:rFonts w:ascii="Times New Roman" w:hAnsi="Times New Roman" w:cs="Times New Roman"/>
        </w:rPr>
        <w:t xml:space="preserve"> shareholder may elect </w:t>
      </w:r>
      <w:r w:rsidR="00881A7A" w:rsidRPr="00EF266A">
        <w:rPr>
          <w:rFonts w:ascii="Times New Roman" w:hAnsi="Times New Roman" w:cs="Times New Roman"/>
        </w:rPr>
        <w:t>to include in income the all E&amp;P amount</w:t>
      </w:r>
      <w:r w:rsidR="00D30312">
        <w:rPr>
          <w:rFonts w:ascii="Times New Roman" w:hAnsi="Times New Roman" w:cs="Times New Roman"/>
        </w:rPr>
        <w:t xml:space="preserve"> (the “</w:t>
      </w:r>
      <w:r w:rsidR="00D30312">
        <w:rPr>
          <w:rFonts w:ascii="Times New Roman" w:hAnsi="Times New Roman" w:cs="Times New Roman"/>
          <w:b/>
          <w:bCs/>
        </w:rPr>
        <w:t>all E&amp;P election</w:t>
      </w:r>
      <w:r w:rsidR="00D30312">
        <w:rPr>
          <w:rFonts w:ascii="Times New Roman" w:hAnsi="Times New Roman" w:cs="Times New Roman"/>
        </w:rPr>
        <w:t>”)</w:t>
      </w:r>
      <w:r w:rsidR="00C063F3" w:rsidRPr="00EF266A">
        <w:rPr>
          <w:rFonts w:ascii="Times New Roman" w:hAnsi="Times New Roman" w:cs="Times New Roman"/>
        </w:rPr>
        <w:t>.</w:t>
      </w:r>
      <w:r w:rsidR="00881A7A" w:rsidRPr="00EF266A">
        <w:rPr>
          <w:rStyle w:val="FootnoteReference"/>
          <w:rFonts w:ascii="Times New Roman" w:hAnsi="Times New Roman" w:cs="Times New Roman"/>
        </w:rPr>
        <w:footnoteReference w:id="96"/>
      </w:r>
      <w:r w:rsidR="008B6970" w:rsidRPr="00EF266A">
        <w:rPr>
          <w:rFonts w:ascii="Times New Roman" w:hAnsi="Times New Roman" w:cs="Times New Roman"/>
        </w:rPr>
        <w:t xml:space="preserve"> </w:t>
      </w:r>
      <w:r w:rsidR="00864204" w:rsidRPr="00EF266A">
        <w:rPr>
          <w:rFonts w:ascii="Times New Roman" w:hAnsi="Times New Roman" w:cs="Times New Roman"/>
        </w:rPr>
        <w:t xml:space="preserve">An exchanging </w:t>
      </w:r>
      <w:r w:rsidR="00B07850">
        <w:rPr>
          <w:rFonts w:ascii="Times New Roman" w:hAnsi="Times New Roman" w:cs="Times New Roman"/>
        </w:rPr>
        <w:t>small</w:t>
      </w:r>
      <w:r w:rsidR="00864204" w:rsidRPr="00EF266A">
        <w:rPr>
          <w:rFonts w:ascii="Times New Roman" w:hAnsi="Times New Roman" w:cs="Times New Roman"/>
        </w:rPr>
        <w:t xml:space="preserve"> shareholder </w:t>
      </w:r>
      <w:r w:rsidR="004531BD" w:rsidRPr="00EF266A">
        <w:rPr>
          <w:rFonts w:ascii="Times New Roman" w:hAnsi="Times New Roman" w:cs="Times New Roman"/>
        </w:rPr>
        <w:t xml:space="preserve">whose stock in the foreign acquired corporation has a fair market value of less than $50,000 </w:t>
      </w:r>
      <w:r w:rsidR="00C661AF" w:rsidRPr="00EF266A">
        <w:rPr>
          <w:rFonts w:ascii="Times New Roman" w:hAnsi="Times New Roman" w:cs="Times New Roman"/>
        </w:rPr>
        <w:t>does not recognize gain or loss as a result of the exchange</w:t>
      </w:r>
      <w:r w:rsidR="00B07850">
        <w:rPr>
          <w:rFonts w:ascii="Times New Roman" w:hAnsi="Times New Roman" w:cs="Times New Roman"/>
        </w:rPr>
        <w:t xml:space="preserve"> (the “</w:t>
      </w:r>
      <w:r w:rsidR="00B07850">
        <w:rPr>
          <w:rFonts w:ascii="Times New Roman" w:hAnsi="Times New Roman" w:cs="Times New Roman"/>
          <w:b/>
          <w:bCs/>
          <w:i/>
          <w:iCs/>
        </w:rPr>
        <w:t xml:space="preserve">de minimis </w:t>
      </w:r>
      <w:r w:rsidR="00B07850">
        <w:rPr>
          <w:rFonts w:ascii="Times New Roman" w:hAnsi="Times New Roman" w:cs="Times New Roman"/>
          <w:b/>
          <w:bCs/>
        </w:rPr>
        <w:t>exception</w:t>
      </w:r>
      <w:r w:rsidR="00B07850">
        <w:rPr>
          <w:rFonts w:ascii="Times New Roman" w:hAnsi="Times New Roman" w:cs="Times New Roman"/>
        </w:rPr>
        <w:t>”)</w:t>
      </w:r>
      <w:r w:rsidR="00C661AF" w:rsidRPr="00EF266A">
        <w:rPr>
          <w:rFonts w:ascii="Times New Roman" w:hAnsi="Times New Roman" w:cs="Times New Roman"/>
        </w:rPr>
        <w:t>.</w:t>
      </w:r>
      <w:r w:rsidR="00C661AF" w:rsidRPr="00EF266A">
        <w:rPr>
          <w:rStyle w:val="FootnoteReference"/>
          <w:rFonts w:ascii="Times New Roman" w:hAnsi="Times New Roman" w:cs="Times New Roman"/>
        </w:rPr>
        <w:footnoteReference w:id="97"/>
      </w:r>
      <w:r w:rsidR="00183790" w:rsidRPr="00183790">
        <w:rPr>
          <w:rFonts w:ascii="Times New Roman" w:hAnsi="Times New Roman" w:cs="Times New Roman"/>
        </w:rPr>
        <w:t xml:space="preserve"> </w:t>
      </w:r>
    </w:p>
    <w:p w14:paraId="7B9BF0CE" w14:textId="2DC7CDAC" w:rsidR="007C0DBA" w:rsidRPr="007C0DBA" w:rsidRDefault="00EF266A" w:rsidP="005E68EE">
      <w:pPr>
        <w:pStyle w:val="Heading4"/>
        <w:widowControl w:val="0"/>
        <w:contextualSpacing w:val="0"/>
      </w:pPr>
      <w:r>
        <w:t>B4</w:t>
      </w:r>
    </w:p>
    <w:p w14:paraId="2E533FB4" w14:textId="31D7D44A" w:rsidR="00C043BE" w:rsidRPr="00C043BE" w:rsidRDefault="0084359A" w:rsidP="005E68EE">
      <w:pPr>
        <w:widowControl w:val="0"/>
        <w:spacing w:after="240" w:line="240" w:lineRule="auto"/>
        <w:rPr>
          <w:rFonts w:ascii="Times New Roman" w:hAnsi="Times New Roman" w:cs="Times New Roman"/>
        </w:rPr>
      </w:pPr>
      <w:r>
        <w:rPr>
          <w:rFonts w:ascii="Times New Roman" w:hAnsi="Times New Roman" w:cs="Times New Roman"/>
        </w:rPr>
        <w:t>B4</w:t>
      </w:r>
      <w:r w:rsidR="0067738C">
        <w:rPr>
          <w:rFonts w:ascii="Times New Roman" w:hAnsi="Times New Roman" w:cs="Times New Roman"/>
        </w:rPr>
        <w:t xml:space="preserve"> provides rules for certain foreign</w:t>
      </w:r>
      <w:r w:rsidR="001A11F7">
        <w:rPr>
          <w:rFonts w:ascii="Times New Roman" w:hAnsi="Times New Roman" w:cs="Times New Roman"/>
        </w:rPr>
        <w:t>-</w:t>
      </w:r>
      <w:r w:rsidR="0067738C">
        <w:rPr>
          <w:rFonts w:ascii="Times New Roman" w:hAnsi="Times New Roman" w:cs="Times New Roman"/>
        </w:rPr>
        <w:t>to</w:t>
      </w:r>
      <w:r w:rsidR="001A11F7">
        <w:rPr>
          <w:rFonts w:ascii="Times New Roman" w:hAnsi="Times New Roman" w:cs="Times New Roman"/>
        </w:rPr>
        <w:t>-</w:t>
      </w:r>
      <w:r w:rsidR="0067738C">
        <w:rPr>
          <w:rFonts w:ascii="Times New Roman" w:hAnsi="Times New Roman" w:cs="Times New Roman"/>
        </w:rPr>
        <w:t>foreign</w:t>
      </w:r>
      <w:r w:rsidR="001A11F7">
        <w:rPr>
          <w:rFonts w:ascii="Times New Roman" w:hAnsi="Times New Roman" w:cs="Times New Roman"/>
        </w:rPr>
        <w:t xml:space="preserve"> nonrecognition</w:t>
      </w:r>
      <w:r w:rsidR="0067738C">
        <w:rPr>
          <w:rFonts w:ascii="Times New Roman" w:hAnsi="Times New Roman" w:cs="Times New Roman"/>
        </w:rPr>
        <w:t xml:space="preserve"> </w:t>
      </w:r>
      <w:r w:rsidR="00AA4B80">
        <w:rPr>
          <w:rFonts w:ascii="Times New Roman" w:hAnsi="Times New Roman" w:cs="Times New Roman"/>
        </w:rPr>
        <w:t xml:space="preserve">transactions, including if a foreign corporation (transferee foreign corporation) acquires the stock or assets of a foreign corporation (foreign acquired corporation) </w:t>
      </w:r>
      <w:r w:rsidR="000E0536">
        <w:rPr>
          <w:rFonts w:ascii="Times New Roman" w:hAnsi="Times New Roman" w:cs="Times New Roman"/>
        </w:rPr>
        <w:t xml:space="preserve">in an exchange described in </w:t>
      </w:r>
      <w:r w:rsidR="0002073D">
        <w:rPr>
          <w:rFonts w:ascii="Times New Roman" w:hAnsi="Times New Roman" w:cs="Times New Roman"/>
        </w:rPr>
        <w:t xml:space="preserve">Code Sec. </w:t>
      </w:r>
      <w:r w:rsidR="004D73D3">
        <w:rPr>
          <w:rFonts w:ascii="Times New Roman" w:hAnsi="Times New Roman" w:cs="Times New Roman"/>
        </w:rPr>
        <w:t xml:space="preserve">351 or a reorganization under </w:t>
      </w:r>
      <w:r w:rsidR="0002073D">
        <w:rPr>
          <w:rFonts w:ascii="Times New Roman" w:hAnsi="Times New Roman" w:cs="Times New Roman"/>
        </w:rPr>
        <w:t>Code Sec.</w:t>
      </w:r>
      <w:r w:rsidR="004D73D3">
        <w:rPr>
          <w:rFonts w:ascii="Times New Roman" w:hAnsi="Times New Roman" w:cs="Times New Roman"/>
        </w:rPr>
        <w:t xml:space="preserve"> 368(</w:t>
      </w:r>
      <w:r w:rsidR="00C043BE" w:rsidRPr="00C043BE">
        <w:rPr>
          <w:rFonts w:ascii="Times New Roman" w:hAnsi="Times New Roman" w:cs="Times New Roman"/>
        </w:rPr>
        <w:t>a)</w:t>
      </w:r>
      <w:r w:rsidR="004D73D3">
        <w:rPr>
          <w:rFonts w:ascii="Times New Roman" w:hAnsi="Times New Roman" w:cs="Times New Roman"/>
        </w:rPr>
        <w:t xml:space="preserve"> </w:t>
      </w:r>
      <w:r w:rsidR="00C043BE" w:rsidRPr="00C043BE">
        <w:rPr>
          <w:rFonts w:ascii="Times New Roman" w:hAnsi="Times New Roman" w:cs="Times New Roman"/>
        </w:rPr>
        <w:t>in which both the target and acquiring corporation are foreign</w:t>
      </w:r>
      <w:r w:rsidR="004D73D3">
        <w:rPr>
          <w:rFonts w:ascii="Times New Roman" w:hAnsi="Times New Roman" w:cs="Times New Roman"/>
        </w:rPr>
        <w:t>.</w:t>
      </w:r>
      <w:r w:rsidR="004D73D3">
        <w:rPr>
          <w:rStyle w:val="FootnoteReference"/>
          <w:rFonts w:ascii="Times New Roman" w:hAnsi="Times New Roman" w:cs="Times New Roman"/>
        </w:rPr>
        <w:footnoteReference w:id="98"/>
      </w:r>
      <w:r w:rsidR="004D73D3">
        <w:rPr>
          <w:rFonts w:ascii="Times New Roman" w:hAnsi="Times New Roman" w:cs="Times New Roman"/>
        </w:rPr>
        <w:t xml:space="preserve"> In general</w:t>
      </w:r>
      <w:r w:rsidR="00C043BE" w:rsidRPr="00C043BE">
        <w:rPr>
          <w:rFonts w:ascii="Times New Roman" w:hAnsi="Times New Roman" w:cs="Times New Roman"/>
        </w:rPr>
        <w:t>, an exchanging shareholder may be required to include in income as a deemed dividend the 1248 amount associated with the stock of the foreign target corporation transferred.</w:t>
      </w:r>
      <w:r w:rsidR="000C3676">
        <w:rPr>
          <w:rStyle w:val="FootnoteReference"/>
          <w:rFonts w:ascii="Times New Roman" w:hAnsi="Times New Roman" w:cs="Times New Roman"/>
        </w:rPr>
        <w:footnoteReference w:id="99"/>
      </w:r>
      <w:r w:rsidR="00C043BE" w:rsidRPr="00C043BE">
        <w:rPr>
          <w:rFonts w:ascii="Times New Roman" w:hAnsi="Times New Roman" w:cs="Times New Roman"/>
        </w:rPr>
        <w:t xml:space="preserve"> An exchanging shareholder will be considered to receive a deemed dividend in the following situations: (i) the exchange results in the loss of status as a 1248 shareholder within the meaning of </w:t>
      </w:r>
      <w:r w:rsidR="00C05013" w:rsidRPr="00C043BE">
        <w:rPr>
          <w:rFonts w:ascii="Times New Roman" w:hAnsi="Times New Roman" w:cs="Times New Roman"/>
        </w:rPr>
        <w:t>Reg</w:t>
      </w:r>
      <w:r w:rsidR="00C05013">
        <w:rPr>
          <w:rFonts w:ascii="Times New Roman" w:hAnsi="Times New Roman" w:cs="Times New Roman"/>
        </w:rPr>
        <w:t>.</w:t>
      </w:r>
      <w:r w:rsidR="00C043BE" w:rsidRPr="00C043BE">
        <w:rPr>
          <w:rFonts w:ascii="Times New Roman" w:hAnsi="Times New Roman" w:cs="Times New Roman"/>
        </w:rPr>
        <w:t xml:space="preserve"> </w:t>
      </w:r>
      <w:r w:rsidR="009B5C16">
        <w:rPr>
          <w:rFonts w:ascii="Times New Roman" w:hAnsi="Times New Roman" w:cs="Times New Roman"/>
        </w:rPr>
        <w:t>§</w:t>
      </w:r>
      <w:r w:rsidR="00C043BE" w:rsidRPr="00C043BE">
        <w:rPr>
          <w:rFonts w:ascii="Times New Roman" w:hAnsi="Times New Roman" w:cs="Times New Roman"/>
        </w:rPr>
        <w:t>1.367(b)-2(b); (ii) the shareholder receives preferred stock or tracking stock in exchange for common stock (or participating preferred stock) and certain other conditions are met; and (iii) recapitalization transactions that result in the shareholder receiving preferred stock or tracking stock in exchange for common stock (or participating preferred stock).</w:t>
      </w:r>
      <w:r w:rsidR="00B81081">
        <w:rPr>
          <w:rStyle w:val="FootnoteReference"/>
          <w:rFonts w:ascii="Times New Roman" w:hAnsi="Times New Roman" w:cs="Times New Roman"/>
        </w:rPr>
        <w:footnoteReference w:id="100"/>
      </w:r>
    </w:p>
    <w:p w14:paraId="4ABFB33B" w14:textId="07D4783B" w:rsidR="00C043BE" w:rsidRPr="00C043BE" w:rsidRDefault="00C043BE" w:rsidP="005E68EE">
      <w:pPr>
        <w:widowControl w:val="0"/>
        <w:spacing w:after="240" w:line="240" w:lineRule="auto"/>
        <w:rPr>
          <w:rFonts w:ascii="Times New Roman" w:hAnsi="Times New Roman" w:cs="Times New Roman"/>
        </w:rPr>
      </w:pPr>
      <w:r w:rsidRPr="00C043BE">
        <w:rPr>
          <w:rFonts w:ascii="Times New Roman" w:hAnsi="Times New Roman" w:cs="Times New Roman"/>
        </w:rPr>
        <w:lastRenderedPageBreak/>
        <w:t>The 1248 amount is defined as the net positive earnings and profits (if any) that would be attributable to the stock of the transferred foreign corporation and includible in income as a dividend under section 1248 if the shareholder sold the stock.</w:t>
      </w:r>
      <w:r w:rsidR="00D544F6">
        <w:rPr>
          <w:rStyle w:val="FootnoteReference"/>
          <w:rFonts w:ascii="Times New Roman" w:hAnsi="Times New Roman" w:cs="Times New Roman"/>
        </w:rPr>
        <w:footnoteReference w:id="101"/>
      </w:r>
      <w:r w:rsidRPr="00C043BE">
        <w:rPr>
          <w:rFonts w:ascii="Times New Roman" w:hAnsi="Times New Roman" w:cs="Times New Roman"/>
        </w:rPr>
        <w:t xml:space="preserve"> A 1248 </w:t>
      </w:r>
      <w:r w:rsidR="004220EE">
        <w:rPr>
          <w:rFonts w:ascii="Times New Roman" w:hAnsi="Times New Roman" w:cs="Times New Roman"/>
        </w:rPr>
        <w:t>s</w:t>
      </w:r>
      <w:r w:rsidRPr="00C043BE">
        <w:rPr>
          <w:rFonts w:ascii="Times New Roman" w:hAnsi="Times New Roman" w:cs="Times New Roman"/>
        </w:rPr>
        <w:t xml:space="preserve">hareholder generally is defined as a U.S. person (including a </w:t>
      </w:r>
      <w:r w:rsidR="00234E83">
        <w:rPr>
          <w:rFonts w:ascii="Times New Roman" w:hAnsi="Times New Roman" w:cs="Times New Roman"/>
        </w:rPr>
        <w:t xml:space="preserve">domestic </w:t>
      </w:r>
      <w:r w:rsidRPr="00C043BE">
        <w:rPr>
          <w:rFonts w:ascii="Times New Roman" w:hAnsi="Times New Roman" w:cs="Times New Roman"/>
        </w:rPr>
        <w:t>corporation) that owns</w:t>
      </w:r>
      <w:r w:rsidRPr="00C043BE" w:rsidDel="00234E83">
        <w:rPr>
          <w:rFonts w:ascii="Times New Roman" w:hAnsi="Times New Roman" w:cs="Times New Roman"/>
        </w:rPr>
        <w:t xml:space="preserve"> </w:t>
      </w:r>
      <w:r w:rsidR="00234E83">
        <w:rPr>
          <w:rFonts w:ascii="Times New Roman" w:hAnsi="Times New Roman" w:cs="Times New Roman"/>
        </w:rPr>
        <w:t>ten</w:t>
      </w:r>
      <w:r w:rsidRPr="00C043BE">
        <w:rPr>
          <w:rFonts w:ascii="Times New Roman" w:hAnsi="Times New Roman" w:cs="Times New Roman"/>
        </w:rPr>
        <w:t xml:space="preserve"> percent or more of the voting stock of a foreign corporation as any time during the five-year period ending on the date of the disposition when such foreign corporation was a CFC.</w:t>
      </w:r>
      <w:r w:rsidR="003C5BDF">
        <w:rPr>
          <w:rStyle w:val="FootnoteReference"/>
          <w:rFonts w:ascii="Times New Roman" w:hAnsi="Times New Roman" w:cs="Times New Roman"/>
        </w:rPr>
        <w:footnoteReference w:id="102"/>
      </w:r>
      <w:r w:rsidRPr="00C043BE">
        <w:rPr>
          <w:rFonts w:ascii="Times New Roman" w:hAnsi="Times New Roman" w:cs="Times New Roman"/>
        </w:rPr>
        <w:t xml:space="preserve"> For purposes of determining 1248 </w:t>
      </w:r>
      <w:r w:rsidR="00BC72B9">
        <w:rPr>
          <w:rFonts w:ascii="Times New Roman" w:hAnsi="Times New Roman" w:cs="Times New Roman"/>
        </w:rPr>
        <w:t>s</w:t>
      </w:r>
      <w:r w:rsidRPr="00C043BE">
        <w:rPr>
          <w:rFonts w:ascii="Times New Roman" w:hAnsi="Times New Roman" w:cs="Times New Roman"/>
        </w:rPr>
        <w:t xml:space="preserve">hareholder status, stock owned directly, indirectly under </w:t>
      </w:r>
      <w:r w:rsidR="00B42AA9">
        <w:rPr>
          <w:rFonts w:ascii="Times New Roman" w:hAnsi="Times New Roman" w:cs="Times New Roman"/>
        </w:rPr>
        <w:t>Code Sec.</w:t>
      </w:r>
      <w:r w:rsidR="00A5108A">
        <w:rPr>
          <w:rFonts w:ascii="Times New Roman" w:hAnsi="Times New Roman" w:cs="Times New Roman"/>
        </w:rPr>
        <w:t xml:space="preserve"> </w:t>
      </w:r>
      <w:r w:rsidRPr="00C043BE">
        <w:rPr>
          <w:rFonts w:ascii="Times New Roman" w:hAnsi="Times New Roman" w:cs="Times New Roman"/>
        </w:rPr>
        <w:t xml:space="preserve">958(a), and constructively under </w:t>
      </w:r>
      <w:r w:rsidR="00B42AA9">
        <w:rPr>
          <w:rFonts w:ascii="Times New Roman" w:hAnsi="Times New Roman" w:cs="Times New Roman"/>
        </w:rPr>
        <w:t>Code Sec.</w:t>
      </w:r>
      <w:r w:rsidR="00A5108A">
        <w:rPr>
          <w:rFonts w:ascii="Times New Roman" w:hAnsi="Times New Roman" w:cs="Times New Roman"/>
        </w:rPr>
        <w:t xml:space="preserve"> </w:t>
      </w:r>
      <w:r w:rsidRPr="00C043BE">
        <w:rPr>
          <w:rFonts w:ascii="Times New Roman" w:hAnsi="Times New Roman" w:cs="Times New Roman"/>
        </w:rPr>
        <w:t xml:space="preserve">958(b) is taken into account. </w:t>
      </w:r>
    </w:p>
    <w:p w14:paraId="75570D36" w14:textId="2F143461" w:rsidR="00CD3F51" w:rsidRDefault="00C043BE" w:rsidP="0096648D">
      <w:pPr>
        <w:widowControl w:val="0"/>
        <w:spacing w:after="240" w:line="240" w:lineRule="auto"/>
        <w:rPr>
          <w:rFonts w:ascii="Times New Roman" w:hAnsi="Times New Roman" w:cs="Times New Roman"/>
        </w:rPr>
      </w:pPr>
      <w:r w:rsidRPr="00C043BE">
        <w:rPr>
          <w:rFonts w:ascii="Times New Roman" w:hAnsi="Times New Roman" w:cs="Times New Roman"/>
        </w:rPr>
        <w:t xml:space="preserve">An exchange results in the loss of 1248 </w:t>
      </w:r>
      <w:r w:rsidR="004220EE">
        <w:rPr>
          <w:rFonts w:ascii="Times New Roman" w:hAnsi="Times New Roman" w:cs="Times New Roman"/>
        </w:rPr>
        <w:t>s</w:t>
      </w:r>
      <w:r w:rsidRPr="00C043BE">
        <w:rPr>
          <w:rFonts w:ascii="Times New Roman" w:hAnsi="Times New Roman" w:cs="Times New Roman"/>
        </w:rPr>
        <w:t xml:space="preserve">hareholder status if the exchanging shareholder is either a U.S. person that is a 1248 </w:t>
      </w:r>
      <w:r w:rsidR="004220EE">
        <w:rPr>
          <w:rFonts w:ascii="Times New Roman" w:hAnsi="Times New Roman" w:cs="Times New Roman"/>
        </w:rPr>
        <w:t>s</w:t>
      </w:r>
      <w:r w:rsidRPr="00C043BE">
        <w:rPr>
          <w:rFonts w:ascii="Times New Roman" w:hAnsi="Times New Roman" w:cs="Times New Roman"/>
        </w:rPr>
        <w:t xml:space="preserve">hareholder of the foreign corporation immediately before the exchange or a foreign corporation with respect to which a </w:t>
      </w:r>
      <w:r w:rsidR="00234E83" w:rsidRPr="00C043BE">
        <w:rPr>
          <w:rFonts w:ascii="Times New Roman" w:hAnsi="Times New Roman" w:cs="Times New Roman"/>
        </w:rPr>
        <w:t>U</w:t>
      </w:r>
      <w:r w:rsidR="00234E83">
        <w:rPr>
          <w:rFonts w:ascii="Times New Roman" w:hAnsi="Times New Roman" w:cs="Times New Roman"/>
        </w:rPr>
        <w:t>.</w:t>
      </w:r>
      <w:r w:rsidR="00234E83" w:rsidRPr="00C043BE">
        <w:rPr>
          <w:rFonts w:ascii="Times New Roman" w:hAnsi="Times New Roman" w:cs="Times New Roman"/>
        </w:rPr>
        <w:t>S</w:t>
      </w:r>
      <w:r w:rsidR="00234E83">
        <w:rPr>
          <w:rFonts w:ascii="Times New Roman" w:hAnsi="Times New Roman" w:cs="Times New Roman"/>
        </w:rPr>
        <w:t>.</w:t>
      </w:r>
      <w:r w:rsidRPr="00C043BE">
        <w:rPr>
          <w:rFonts w:ascii="Times New Roman" w:hAnsi="Times New Roman" w:cs="Times New Roman"/>
        </w:rPr>
        <w:t xml:space="preserve"> person is a 1248 </w:t>
      </w:r>
      <w:r w:rsidR="004220EE">
        <w:rPr>
          <w:rFonts w:ascii="Times New Roman" w:hAnsi="Times New Roman" w:cs="Times New Roman"/>
        </w:rPr>
        <w:t>s</w:t>
      </w:r>
      <w:r w:rsidRPr="00C043BE">
        <w:rPr>
          <w:rFonts w:ascii="Times New Roman" w:hAnsi="Times New Roman" w:cs="Times New Roman"/>
        </w:rPr>
        <w:t xml:space="preserve">hareholder, and immediately after the exchange, either (i) the stock received is not stock in a CFC as to which the exchanging shareholder (or in the case of an exchanging foreign corporation, the 1248 </w:t>
      </w:r>
      <w:r w:rsidR="004220EE">
        <w:rPr>
          <w:rFonts w:ascii="Times New Roman" w:hAnsi="Times New Roman" w:cs="Times New Roman"/>
        </w:rPr>
        <w:t>s</w:t>
      </w:r>
      <w:r w:rsidRPr="00C043BE">
        <w:rPr>
          <w:rFonts w:ascii="Times New Roman" w:hAnsi="Times New Roman" w:cs="Times New Roman"/>
        </w:rPr>
        <w:t xml:space="preserve">hareholder with respect to such corporation) is a 1248 </w:t>
      </w:r>
      <w:r w:rsidR="004220EE">
        <w:rPr>
          <w:rFonts w:ascii="Times New Roman" w:hAnsi="Times New Roman" w:cs="Times New Roman"/>
        </w:rPr>
        <w:t>s</w:t>
      </w:r>
      <w:r w:rsidRPr="00C043BE">
        <w:rPr>
          <w:rFonts w:ascii="Times New Roman" w:hAnsi="Times New Roman" w:cs="Times New Roman"/>
        </w:rPr>
        <w:t xml:space="preserve">hareholder or (ii) the foreign acquiring corporation is not a CFC as to which the U.S. transferor (or in the case of an exchanging foreign corporation, the 1248 </w:t>
      </w:r>
      <w:r w:rsidR="004220EE">
        <w:rPr>
          <w:rFonts w:ascii="Times New Roman" w:hAnsi="Times New Roman" w:cs="Times New Roman"/>
        </w:rPr>
        <w:t>s</w:t>
      </w:r>
      <w:r w:rsidRPr="00C043BE">
        <w:rPr>
          <w:rFonts w:ascii="Times New Roman" w:hAnsi="Times New Roman" w:cs="Times New Roman"/>
        </w:rPr>
        <w:t xml:space="preserve">hareholder with respect to such foreign corporation) is a 1248 </w:t>
      </w:r>
      <w:r w:rsidR="004220EE">
        <w:rPr>
          <w:rFonts w:ascii="Times New Roman" w:hAnsi="Times New Roman" w:cs="Times New Roman"/>
        </w:rPr>
        <w:t>s</w:t>
      </w:r>
      <w:r w:rsidRPr="00C043BE">
        <w:rPr>
          <w:rFonts w:ascii="Times New Roman" w:hAnsi="Times New Roman" w:cs="Times New Roman"/>
        </w:rPr>
        <w:t>hareholder.</w:t>
      </w:r>
      <w:r w:rsidR="00B13FA8">
        <w:rPr>
          <w:rStyle w:val="FootnoteReference"/>
          <w:rFonts w:ascii="Times New Roman" w:hAnsi="Times New Roman" w:cs="Times New Roman"/>
        </w:rPr>
        <w:footnoteReference w:id="103"/>
      </w:r>
      <w:r w:rsidR="00E672E4">
        <w:rPr>
          <w:rFonts w:ascii="Times New Roman" w:hAnsi="Times New Roman" w:cs="Times New Roman"/>
        </w:rPr>
        <w:t xml:space="preserve"> </w:t>
      </w:r>
      <w:r w:rsidR="00BC72B9">
        <w:rPr>
          <w:rFonts w:ascii="Times New Roman" w:hAnsi="Times New Roman" w:cs="Times New Roman"/>
        </w:rPr>
        <w:t>B4 does not apply to transfers of stock of a foreign corporation by a 1248 shareholder to a domestic corporation. The domestic corporation inherits the 1248 E&amp;P with respect to the foreign acquired corporation under Reg §1.1248-8. Similar to B3, t</w:t>
      </w:r>
      <w:r w:rsidR="00BC72B9" w:rsidRPr="00BC72B9">
        <w:rPr>
          <w:rFonts w:ascii="Times New Roman" w:hAnsi="Times New Roman" w:cs="Times New Roman"/>
        </w:rPr>
        <w:t>here</w:t>
      </w:r>
      <w:r w:rsidR="00BC72B9" w:rsidRPr="00BC72B9" w:rsidDel="00AA41A3">
        <w:rPr>
          <w:rFonts w:ascii="Times New Roman" w:hAnsi="Times New Roman" w:cs="Times New Roman"/>
        </w:rPr>
        <w:t xml:space="preserve"> </w:t>
      </w:r>
      <w:r w:rsidR="00AA41A3">
        <w:rPr>
          <w:rFonts w:ascii="Times New Roman" w:hAnsi="Times New Roman" w:cs="Times New Roman"/>
        </w:rPr>
        <w:t xml:space="preserve">are </w:t>
      </w:r>
      <w:r w:rsidR="00BC72B9" w:rsidRPr="00BC72B9">
        <w:rPr>
          <w:rFonts w:ascii="Times New Roman" w:hAnsi="Times New Roman" w:cs="Times New Roman"/>
        </w:rPr>
        <w:t>no consequence</w:t>
      </w:r>
      <w:r w:rsidR="00AA41A3">
        <w:rPr>
          <w:rFonts w:ascii="Times New Roman" w:hAnsi="Times New Roman" w:cs="Times New Roman"/>
        </w:rPr>
        <w:t>s</w:t>
      </w:r>
      <w:r w:rsidR="00BC72B9" w:rsidRPr="00BC72B9">
        <w:rPr>
          <w:rFonts w:ascii="Times New Roman" w:hAnsi="Times New Roman" w:cs="Times New Roman"/>
        </w:rPr>
        <w:t xml:space="preserve"> to, or with respect to E&amp;P and basis attributable to, foreign shareholders other than foreign corporations with a U.S. shareholder.</w:t>
      </w:r>
    </w:p>
    <w:p w14:paraId="6FE31E85" w14:textId="301B8A49" w:rsidR="00882662" w:rsidRPr="007C0DBA" w:rsidRDefault="00882662" w:rsidP="005E68EE">
      <w:pPr>
        <w:pStyle w:val="Heading4"/>
        <w:contextualSpacing w:val="0"/>
      </w:pPr>
      <w:r>
        <w:t>Treatment of Deemed Dividend</w:t>
      </w:r>
      <w:r w:rsidR="000D001E">
        <w:t>s</w:t>
      </w:r>
    </w:p>
    <w:p w14:paraId="2BB49420" w14:textId="44FC3AD6" w:rsidR="003A24E1" w:rsidRDefault="00F72D01" w:rsidP="0096648D">
      <w:pPr>
        <w:widowControl w:val="0"/>
        <w:spacing w:after="240" w:line="240" w:lineRule="auto"/>
        <w:rPr>
          <w:rFonts w:ascii="Times New Roman" w:hAnsi="Times New Roman" w:cs="Times New Roman"/>
        </w:rPr>
      </w:pPr>
      <w:r>
        <w:rPr>
          <w:rFonts w:ascii="Times New Roman" w:hAnsi="Times New Roman" w:cs="Times New Roman"/>
        </w:rPr>
        <w:t xml:space="preserve">As described above, B3 and B4 require </w:t>
      </w:r>
      <w:r w:rsidR="00224FF4">
        <w:rPr>
          <w:rFonts w:ascii="Times New Roman" w:hAnsi="Times New Roman" w:cs="Times New Roman"/>
        </w:rPr>
        <w:t xml:space="preserve">an exchanging shareholder </w:t>
      </w:r>
      <w:r w:rsidR="00B843F3">
        <w:rPr>
          <w:rFonts w:ascii="Times New Roman" w:hAnsi="Times New Roman" w:cs="Times New Roman"/>
        </w:rPr>
        <w:t>to include in</w:t>
      </w:r>
      <w:r w:rsidR="00901728">
        <w:rPr>
          <w:rFonts w:ascii="Times New Roman" w:hAnsi="Times New Roman" w:cs="Times New Roman"/>
        </w:rPr>
        <w:t xml:space="preserve"> it</w:t>
      </w:r>
      <w:r w:rsidR="00EF0C73">
        <w:rPr>
          <w:rFonts w:ascii="Times New Roman" w:hAnsi="Times New Roman" w:cs="Times New Roman"/>
        </w:rPr>
        <w:t>s</w:t>
      </w:r>
      <w:r w:rsidR="00901728">
        <w:rPr>
          <w:rFonts w:ascii="Times New Roman" w:hAnsi="Times New Roman" w:cs="Times New Roman"/>
        </w:rPr>
        <w:t xml:space="preserve"> gross</w:t>
      </w:r>
      <w:r w:rsidR="00B843F3">
        <w:rPr>
          <w:rFonts w:ascii="Times New Roman" w:hAnsi="Times New Roman" w:cs="Times New Roman"/>
        </w:rPr>
        <w:t xml:space="preserve"> income</w:t>
      </w:r>
      <w:r w:rsidR="00901728">
        <w:rPr>
          <w:rFonts w:ascii="Times New Roman" w:hAnsi="Times New Roman" w:cs="Times New Roman"/>
        </w:rPr>
        <w:t xml:space="preserve"> an</w:t>
      </w:r>
      <w:r w:rsidR="00B843F3">
        <w:rPr>
          <w:rFonts w:ascii="Times New Roman" w:hAnsi="Times New Roman" w:cs="Times New Roman"/>
        </w:rPr>
        <w:t xml:space="preserve"> all E&amp;P amount</w:t>
      </w:r>
      <w:r w:rsidR="00E44A11">
        <w:rPr>
          <w:rFonts w:ascii="Times New Roman" w:hAnsi="Times New Roman" w:cs="Times New Roman"/>
        </w:rPr>
        <w:t xml:space="preserve"> or the 1248 amount, respectively</w:t>
      </w:r>
      <w:r w:rsidR="00901728">
        <w:rPr>
          <w:rFonts w:ascii="Times New Roman" w:hAnsi="Times New Roman" w:cs="Times New Roman"/>
        </w:rPr>
        <w:t>, as a deemed dividend</w:t>
      </w:r>
      <w:r w:rsidR="00DB36AA">
        <w:rPr>
          <w:rFonts w:ascii="Times New Roman" w:hAnsi="Times New Roman" w:cs="Times New Roman"/>
        </w:rPr>
        <w:t>.</w:t>
      </w:r>
      <w:r w:rsidR="007D29A7">
        <w:rPr>
          <w:rFonts w:ascii="Times New Roman" w:hAnsi="Times New Roman" w:cs="Times New Roman"/>
        </w:rPr>
        <w:t xml:space="preserve"> </w:t>
      </w:r>
      <w:r w:rsidR="00F53D46">
        <w:rPr>
          <w:rFonts w:ascii="Times New Roman" w:hAnsi="Times New Roman" w:cs="Times New Roman"/>
        </w:rPr>
        <w:t>A</w:t>
      </w:r>
      <w:r w:rsidR="007D29A7">
        <w:rPr>
          <w:rFonts w:ascii="Times New Roman" w:hAnsi="Times New Roman" w:cs="Times New Roman"/>
        </w:rPr>
        <w:t xml:space="preserve"> deemed dividend</w:t>
      </w:r>
      <w:r w:rsidR="00331847">
        <w:rPr>
          <w:rFonts w:ascii="Times New Roman" w:hAnsi="Times New Roman" w:cs="Times New Roman"/>
        </w:rPr>
        <w:t xml:space="preserve"> under the </w:t>
      </w:r>
      <w:r w:rsidR="00EB01C6">
        <w:rPr>
          <w:rFonts w:ascii="Times New Roman" w:hAnsi="Times New Roman" w:cs="Times New Roman"/>
        </w:rPr>
        <w:t>367(b) regulations</w:t>
      </w:r>
      <w:r w:rsidR="007D29A7">
        <w:rPr>
          <w:rFonts w:ascii="Times New Roman" w:hAnsi="Times New Roman" w:cs="Times New Roman"/>
        </w:rPr>
        <w:t xml:space="preserve"> is treated as a dividend for all pu</w:t>
      </w:r>
      <w:r w:rsidR="00B0303B">
        <w:rPr>
          <w:rFonts w:ascii="Times New Roman" w:hAnsi="Times New Roman" w:cs="Times New Roman"/>
        </w:rPr>
        <w:t>rpose</w:t>
      </w:r>
      <w:r w:rsidR="007D29A7">
        <w:rPr>
          <w:rFonts w:ascii="Times New Roman" w:hAnsi="Times New Roman" w:cs="Times New Roman"/>
        </w:rPr>
        <w:t>s of the Code</w:t>
      </w:r>
      <w:r w:rsidR="00331847">
        <w:rPr>
          <w:rFonts w:ascii="Times New Roman" w:hAnsi="Times New Roman" w:cs="Times New Roman"/>
        </w:rPr>
        <w:t xml:space="preserve">. Therefore, a deemed dividend included in the gross </w:t>
      </w:r>
      <w:r w:rsidR="003A24E1">
        <w:rPr>
          <w:rFonts w:ascii="Times New Roman" w:hAnsi="Times New Roman" w:cs="Times New Roman"/>
        </w:rPr>
        <w:t>income of a</w:t>
      </w:r>
      <w:r w:rsidR="00331847" w:rsidRPr="00217607">
        <w:rPr>
          <w:rFonts w:ascii="Times New Roman" w:hAnsi="Times New Roman" w:cs="Times New Roman"/>
        </w:rPr>
        <w:t xml:space="preserve"> </w:t>
      </w:r>
      <w:r w:rsidR="00331847">
        <w:rPr>
          <w:rFonts w:ascii="Times New Roman" w:hAnsi="Times New Roman" w:cs="Times New Roman"/>
        </w:rPr>
        <w:t xml:space="preserve">corporate U.S. shareholder </w:t>
      </w:r>
      <w:r w:rsidR="00331847" w:rsidRPr="00217607">
        <w:rPr>
          <w:rFonts w:ascii="Times New Roman" w:hAnsi="Times New Roman" w:cs="Times New Roman"/>
        </w:rPr>
        <w:t>may</w:t>
      </w:r>
      <w:r w:rsidR="003A24E1">
        <w:rPr>
          <w:rFonts w:ascii="Times New Roman" w:hAnsi="Times New Roman" w:cs="Times New Roman"/>
        </w:rPr>
        <w:t xml:space="preserve"> </w:t>
      </w:r>
      <w:r w:rsidR="00331847" w:rsidRPr="00217607">
        <w:rPr>
          <w:rFonts w:ascii="Times New Roman" w:hAnsi="Times New Roman" w:cs="Times New Roman"/>
        </w:rPr>
        <w:t>be</w:t>
      </w:r>
      <w:r w:rsidR="003A24E1">
        <w:rPr>
          <w:rFonts w:ascii="Times New Roman" w:hAnsi="Times New Roman" w:cs="Times New Roman"/>
        </w:rPr>
        <w:t xml:space="preserve"> eligible for </w:t>
      </w:r>
      <w:r w:rsidR="00331847">
        <w:rPr>
          <w:rFonts w:ascii="Times New Roman" w:hAnsi="Times New Roman" w:cs="Times New Roman"/>
        </w:rPr>
        <w:t>245A DRD for an inclusion, and a deemed dividend</w:t>
      </w:r>
      <w:r w:rsidR="003A24E1">
        <w:rPr>
          <w:rFonts w:ascii="Times New Roman" w:hAnsi="Times New Roman" w:cs="Times New Roman"/>
        </w:rPr>
        <w:t xml:space="preserve"> included</w:t>
      </w:r>
      <w:r w:rsidR="00331847">
        <w:rPr>
          <w:rFonts w:ascii="Times New Roman" w:hAnsi="Times New Roman" w:cs="Times New Roman"/>
        </w:rPr>
        <w:t xml:space="preserve"> in the gross income of an individual U.S. shareholder may qualify as qualified dividend income (“</w:t>
      </w:r>
      <w:r w:rsidR="00331847" w:rsidRPr="000665BD">
        <w:rPr>
          <w:rFonts w:ascii="Times New Roman" w:hAnsi="Times New Roman" w:cs="Times New Roman"/>
          <w:b/>
          <w:bCs/>
        </w:rPr>
        <w:t>QDI</w:t>
      </w:r>
      <w:r w:rsidR="00331847">
        <w:rPr>
          <w:rFonts w:ascii="Times New Roman" w:hAnsi="Times New Roman" w:cs="Times New Roman"/>
        </w:rPr>
        <w:t>”) under Code Sec. 1(h)(11)</w:t>
      </w:r>
      <w:r w:rsidR="00331847" w:rsidRPr="00217607">
        <w:rPr>
          <w:rFonts w:ascii="Times New Roman" w:hAnsi="Times New Roman" w:cs="Times New Roman"/>
        </w:rPr>
        <w:t xml:space="preserve">. </w:t>
      </w:r>
      <w:r w:rsidR="003A24E1">
        <w:rPr>
          <w:rFonts w:ascii="Times New Roman" w:hAnsi="Times New Roman" w:cs="Times New Roman"/>
        </w:rPr>
        <w:t>As for deemed dividends received by an exchanging shareholder that is a CFC, a Code Sec. 1248 amount included in the gross income of a CFC as a deemed dividend is excluded from FPHCI.</w:t>
      </w:r>
      <w:r w:rsidR="003A24E1">
        <w:rPr>
          <w:rStyle w:val="FootnoteReference"/>
          <w:rFonts w:ascii="Times New Roman" w:hAnsi="Times New Roman" w:cs="Times New Roman"/>
        </w:rPr>
        <w:footnoteReference w:id="104"/>
      </w:r>
      <w:r w:rsidR="003A24E1">
        <w:rPr>
          <w:rFonts w:ascii="Times New Roman" w:hAnsi="Times New Roman" w:cs="Times New Roman"/>
        </w:rPr>
        <w:t xml:space="preserve"> However, an all E&amp;P amount included in the gross income of a CFC is </w:t>
      </w:r>
      <w:r w:rsidR="003A24E1" w:rsidRPr="00217607">
        <w:rPr>
          <w:rFonts w:ascii="Times New Roman" w:hAnsi="Times New Roman" w:cs="Times New Roman"/>
        </w:rPr>
        <w:t xml:space="preserve">treated as </w:t>
      </w:r>
      <w:r w:rsidR="003A24E1">
        <w:rPr>
          <w:rFonts w:ascii="Times New Roman" w:hAnsi="Times New Roman" w:cs="Times New Roman"/>
        </w:rPr>
        <w:t xml:space="preserve">FPHCI, since the deemed dividend is eligible for neither the </w:t>
      </w:r>
      <w:r w:rsidR="003A24E1" w:rsidRPr="00217607">
        <w:rPr>
          <w:rFonts w:ascii="Times New Roman" w:hAnsi="Times New Roman" w:cs="Times New Roman"/>
        </w:rPr>
        <w:t>same country exception</w:t>
      </w:r>
      <w:r w:rsidR="003A24E1">
        <w:rPr>
          <w:rStyle w:val="FootnoteReference"/>
          <w:rFonts w:ascii="Times New Roman" w:hAnsi="Times New Roman" w:cs="Times New Roman"/>
        </w:rPr>
        <w:footnoteReference w:id="105"/>
      </w:r>
      <w:r w:rsidR="003A24E1">
        <w:rPr>
          <w:rFonts w:ascii="Times New Roman" w:hAnsi="Times New Roman" w:cs="Times New Roman"/>
        </w:rPr>
        <w:t xml:space="preserve"> nor the look-through exception under Code Sec. 954(c)(6) (the “</w:t>
      </w:r>
      <w:r w:rsidR="003A24E1" w:rsidRPr="00F464C6">
        <w:rPr>
          <w:rFonts w:ascii="Times New Roman" w:hAnsi="Times New Roman" w:cs="Times New Roman"/>
          <w:b/>
          <w:bCs/>
        </w:rPr>
        <w:t>look-through exception</w:t>
      </w:r>
      <w:r w:rsidR="003A24E1">
        <w:rPr>
          <w:rFonts w:ascii="Times New Roman" w:hAnsi="Times New Roman" w:cs="Times New Roman"/>
        </w:rPr>
        <w:t>”)</w:t>
      </w:r>
      <w:r w:rsidR="003A24E1" w:rsidRPr="00217607">
        <w:rPr>
          <w:rFonts w:ascii="Times New Roman" w:hAnsi="Times New Roman" w:cs="Times New Roman"/>
        </w:rPr>
        <w:t>.</w:t>
      </w:r>
      <w:r w:rsidR="003A24E1" w:rsidRPr="00217607">
        <w:rPr>
          <w:rFonts w:ascii="Times New Roman" w:hAnsi="Times New Roman" w:cs="Times New Roman"/>
          <w:vertAlign w:val="superscript"/>
        </w:rPr>
        <w:footnoteReference w:id="106"/>
      </w:r>
      <w:r w:rsidR="003A24E1" w:rsidRPr="00217607">
        <w:rPr>
          <w:rFonts w:ascii="Times New Roman" w:hAnsi="Times New Roman" w:cs="Times New Roman"/>
        </w:rPr>
        <w:t xml:space="preserve"> </w:t>
      </w:r>
    </w:p>
    <w:p w14:paraId="4778E27F" w14:textId="61B7A846" w:rsidR="00D46522" w:rsidRDefault="00FC55DD" w:rsidP="0096648D">
      <w:pPr>
        <w:widowControl w:val="0"/>
        <w:spacing w:after="240" w:line="240" w:lineRule="auto"/>
        <w:rPr>
          <w:rFonts w:ascii="Times New Roman" w:hAnsi="Times New Roman" w:cs="Times New Roman"/>
        </w:rPr>
      </w:pPr>
      <w:r>
        <w:rPr>
          <w:rFonts w:ascii="Times New Roman" w:hAnsi="Times New Roman" w:cs="Times New Roman"/>
        </w:rPr>
        <w:t>A</w:t>
      </w:r>
      <w:r w:rsidR="0029051D">
        <w:rPr>
          <w:rFonts w:ascii="Times New Roman" w:hAnsi="Times New Roman" w:cs="Times New Roman"/>
        </w:rPr>
        <w:t xml:space="preserve"> </w:t>
      </w:r>
      <w:r w:rsidR="008A4AAF">
        <w:rPr>
          <w:rFonts w:ascii="Times New Roman" w:hAnsi="Times New Roman" w:cs="Times New Roman"/>
        </w:rPr>
        <w:t xml:space="preserve">deemed dividend </w:t>
      </w:r>
      <w:r>
        <w:rPr>
          <w:rFonts w:ascii="Times New Roman" w:hAnsi="Times New Roman" w:cs="Times New Roman"/>
        </w:rPr>
        <w:t xml:space="preserve">under B3 or B4 </w:t>
      </w:r>
      <w:r w:rsidR="008A4AAF">
        <w:rPr>
          <w:rFonts w:ascii="Times New Roman" w:hAnsi="Times New Roman" w:cs="Times New Roman"/>
        </w:rPr>
        <w:t xml:space="preserve">is considered received immediately before the exchanging </w:t>
      </w:r>
      <w:r w:rsidR="008A4AAF">
        <w:rPr>
          <w:rFonts w:ascii="Times New Roman" w:hAnsi="Times New Roman" w:cs="Times New Roman"/>
        </w:rPr>
        <w:lastRenderedPageBreak/>
        <w:t xml:space="preserve">shareholder’s </w:t>
      </w:r>
      <w:r w:rsidR="007D18E5">
        <w:rPr>
          <w:rFonts w:ascii="Times New Roman" w:hAnsi="Times New Roman" w:cs="Times New Roman"/>
        </w:rPr>
        <w:t xml:space="preserve">receipt of consideration </w:t>
      </w:r>
      <w:r w:rsidR="001F09D6">
        <w:rPr>
          <w:rFonts w:ascii="Times New Roman" w:hAnsi="Times New Roman" w:cs="Times New Roman"/>
        </w:rPr>
        <w:t xml:space="preserve">for its stock in the foreign corporation, and the shareholder’s </w:t>
      </w:r>
      <w:r w:rsidR="00E015C4">
        <w:rPr>
          <w:rFonts w:ascii="Times New Roman" w:hAnsi="Times New Roman" w:cs="Times New Roman"/>
        </w:rPr>
        <w:t xml:space="preserve">basis in the stock exchanged </w:t>
      </w:r>
      <w:r w:rsidR="0026712C">
        <w:rPr>
          <w:rFonts w:ascii="Times New Roman" w:hAnsi="Times New Roman" w:cs="Times New Roman"/>
        </w:rPr>
        <w:t>is</w:t>
      </w:r>
      <w:r w:rsidR="00E015C4">
        <w:rPr>
          <w:rFonts w:ascii="Times New Roman" w:hAnsi="Times New Roman" w:cs="Times New Roman"/>
        </w:rPr>
        <w:t xml:space="preserve"> increased by the amount of the deemed dividend.</w:t>
      </w:r>
      <w:r w:rsidR="00F04F48">
        <w:rPr>
          <w:rStyle w:val="FootnoteReference"/>
          <w:rFonts w:ascii="Times New Roman" w:hAnsi="Times New Roman" w:cs="Times New Roman"/>
        </w:rPr>
        <w:footnoteReference w:id="107"/>
      </w:r>
      <w:r w:rsidR="00CC3A93">
        <w:rPr>
          <w:rFonts w:ascii="Times New Roman" w:hAnsi="Times New Roman" w:cs="Times New Roman"/>
        </w:rPr>
        <w:t xml:space="preserve"> </w:t>
      </w:r>
      <w:r w:rsidR="00CC3A93" w:rsidRPr="00CC3A93">
        <w:rPr>
          <w:rFonts w:ascii="Times New Roman" w:hAnsi="Times New Roman" w:cs="Times New Roman"/>
        </w:rPr>
        <w:t xml:space="preserve">Such basis increase </w:t>
      </w:r>
      <w:r w:rsidR="00CC3A93">
        <w:rPr>
          <w:rFonts w:ascii="Times New Roman" w:hAnsi="Times New Roman" w:cs="Times New Roman"/>
        </w:rPr>
        <w:t>is</w:t>
      </w:r>
      <w:r w:rsidR="00CC3A93" w:rsidRPr="00CC3A93">
        <w:rPr>
          <w:rFonts w:ascii="Times New Roman" w:hAnsi="Times New Roman" w:cs="Times New Roman"/>
        </w:rPr>
        <w:t xml:space="preserve"> taken into account before determining the gain otherwise recognized on the exchange (for example, under </w:t>
      </w:r>
      <w:r w:rsidR="004D6E63">
        <w:rPr>
          <w:rFonts w:ascii="Times New Roman" w:hAnsi="Times New Roman" w:cs="Times New Roman"/>
        </w:rPr>
        <w:t xml:space="preserve">Code Sec. </w:t>
      </w:r>
      <w:r w:rsidR="00CC3A93" w:rsidRPr="00CC3A93">
        <w:rPr>
          <w:rFonts w:ascii="Times New Roman" w:hAnsi="Times New Roman" w:cs="Times New Roman"/>
        </w:rPr>
        <w:t xml:space="preserve">356), the basis that the exchanging shareholder takes in the property that it receives in the exchange (under </w:t>
      </w:r>
      <w:r w:rsidR="004D6E63">
        <w:rPr>
          <w:rFonts w:ascii="Times New Roman" w:hAnsi="Times New Roman" w:cs="Times New Roman"/>
        </w:rPr>
        <w:t>Code Sec.</w:t>
      </w:r>
      <w:r w:rsidR="00CC3A93" w:rsidRPr="00CC3A93">
        <w:rPr>
          <w:rFonts w:ascii="Times New Roman" w:hAnsi="Times New Roman" w:cs="Times New Roman"/>
        </w:rPr>
        <w:t xml:space="preserve"> 358(a)(1)), and the basis that the transferee otherwise takes in the transferred stock (under</w:t>
      </w:r>
      <w:r w:rsidR="004D6E63">
        <w:rPr>
          <w:rFonts w:ascii="Times New Roman" w:hAnsi="Times New Roman" w:cs="Times New Roman"/>
        </w:rPr>
        <w:t xml:space="preserve"> Code Sec</w:t>
      </w:r>
      <w:r w:rsidR="00CC3A93" w:rsidRPr="00CC3A93">
        <w:rPr>
          <w:rFonts w:ascii="Times New Roman" w:hAnsi="Times New Roman" w:cs="Times New Roman"/>
        </w:rPr>
        <w:t xml:space="preserve"> 362).</w:t>
      </w:r>
      <w:r w:rsidR="004D6E63">
        <w:rPr>
          <w:rStyle w:val="FootnoteReference"/>
          <w:rFonts w:ascii="Times New Roman" w:hAnsi="Times New Roman" w:cs="Times New Roman"/>
        </w:rPr>
        <w:footnoteReference w:id="108"/>
      </w:r>
    </w:p>
    <w:p w14:paraId="011B236E" w14:textId="2674FBBC" w:rsidR="000F3801" w:rsidRDefault="00913F93" w:rsidP="0096648D">
      <w:pPr>
        <w:pStyle w:val="Heading3"/>
        <w:keepNext w:val="0"/>
        <w:keepLines w:val="0"/>
        <w:widowControl w:val="0"/>
      </w:pPr>
      <w:r>
        <w:t xml:space="preserve">Other </w:t>
      </w:r>
      <w:r w:rsidR="00F372CC">
        <w:t xml:space="preserve">Developments </w:t>
      </w:r>
      <w:r w:rsidR="00A2321B">
        <w:t xml:space="preserve">Impacting Code Sec. </w:t>
      </w:r>
      <w:r w:rsidR="00762713">
        <w:t>367(b)</w:t>
      </w:r>
    </w:p>
    <w:p w14:paraId="0937FFAE" w14:textId="692B2A6B" w:rsidR="00432F98" w:rsidRPr="00504680" w:rsidRDefault="00762713" w:rsidP="005E68EE">
      <w:pPr>
        <w:pStyle w:val="Heading4"/>
        <w:widowControl w:val="0"/>
        <w:numPr>
          <w:ilvl w:val="0"/>
          <w:numId w:val="56"/>
        </w:numPr>
        <w:contextualSpacing w:val="0"/>
      </w:pPr>
      <w:r w:rsidRPr="00504680">
        <w:t>Everything</w:t>
      </w:r>
      <w:r>
        <w:t xml:space="preserve"> but TCJA</w:t>
      </w:r>
    </w:p>
    <w:p w14:paraId="63BCAC81" w14:textId="06AF7B6C" w:rsidR="0027138D" w:rsidRDefault="008C1FF9" w:rsidP="0096648D">
      <w:pPr>
        <w:widowControl w:val="0"/>
        <w:spacing w:after="240" w:line="240" w:lineRule="auto"/>
        <w:rPr>
          <w:rFonts w:ascii="Times New Roman" w:hAnsi="Times New Roman" w:cs="Times New Roman"/>
        </w:rPr>
      </w:pPr>
      <w:r>
        <w:rPr>
          <w:rFonts w:ascii="Times New Roman" w:hAnsi="Times New Roman" w:cs="Times New Roman"/>
        </w:rPr>
        <w:t xml:space="preserve">Code </w:t>
      </w:r>
      <w:r w:rsidR="00DB432B">
        <w:rPr>
          <w:rFonts w:ascii="Times New Roman" w:hAnsi="Times New Roman" w:cs="Times New Roman"/>
        </w:rPr>
        <w:t>Sec</w:t>
      </w:r>
      <w:r>
        <w:rPr>
          <w:rFonts w:ascii="Times New Roman" w:hAnsi="Times New Roman" w:cs="Times New Roman"/>
        </w:rPr>
        <w:t>.</w:t>
      </w:r>
      <w:r w:rsidR="00DB432B">
        <w:rPr>
          <w:rFonts w:ascii="Times New Roman" w:hAnsi="Times New Roman" w:cs="Times New Roman"/>
        </w:rPr>
        <w:t xml:space="preserve"> 367(b) and </w:t>
      </w:r>
      <w:r w:rsidR="00CF07FE">
        <w:rPr>
          <w:rFonts w:ascii="Times New Roman" w:hAnsi="Times New Roman" w:cs="Times New Roman"/>
        </w:rPr>
        <w:t>the</w:t>
      </w:r>
      <w:r w:rsidR="00CF07FE" w:rsidDel="000D001E">
        <w:rPr>
          <w:rFonts w:ascii="Times New Roman" w:hAnsi="Times New Roman" w:cs="Times New Roman"/>
        </w:rPr>
        <w:t xml:space="preserve"> </w:t>
      </w:r>
      <w:r w:rsidR="00DB432B">
        <w:rPr>
          <w:rFonts w:ascii="Times New Roman" w:hAnsi="Times New Roman" w:cs="Times New Roman"/>
        </w:rPr>
        <w:t>regulations</w:t>
      </w:r>
      <w:r w:rsidR="00EB01C6">
        <w:rPr>
          <w:rFonts w:ascii="Times New Roman" w:hAnsi="Times New Roman" w:cs="Times New Roman"/>
        </w:rPr>
        <w:t xml:space="preserve"> thereunder</w:t>
      </w:r>
      <w:r w:rsidR="00DB432B">
        <w:rPr>
          <w:rFonts w:ascii="Times New Roman" w:hAnsi="Times New Roman" w:cs="Times New Roman"/>
        </w:rPr>
        <w:t xml:space="preserve"> have not been significantly amended since the final regulations</w:t>
      </w:r>
      <w:r w:rsidR="00266E9B">
        <w:rPr>
          <w:rFonts w:ascii="Times New Roman" w:hAnsi="Times New Roman" w:cs="Times New Roman"/>
        </w:rPr>
        <w:t xml:space="preserve"> were issued in 2000</w:t>
      </w:r>
      <w:r w:rsidR="00DB432B">
        <w:rPr>
          <w:rFonts w:ascii="Times New Roman" w:hAnsi="Times New Roman" w:cs="Times New Roman"/>
        </w:rPr>
        <w:t xml:space="preserve">. However, </w:t>
      </w:r>
      <w:r w:rsidR="00F47E86">
        <w:rPr>
          <w:rFonts w:ascii="Times New Roman" w:hAnsi="Times New Roman" w:cs="Times New Roman"/>
        </w:rPr>
        <w:t xml:space="preserve">the tax law has </w:t>
      </w:r>
      <w:r w:rsidR="008D0428">
        <w:rPr>
          <w:rFonts w:ascii="Times New Roman" w:hAnsi="Times New Roman" w:cs="Times New Roman"/>
        </w:rPr>
        <w:t xml:space="preserve">evolved both during and since that time. </w:t>
      </w:r>
      <w:r w:rsidR="0027138D">
        <w:rPr>
          <w:rFonts w:ascii="Times New Roman" w:hAnsi="Times New Roman" w:cs="Times New Roman"/>
        </w:rPr>
        <w:t xml:space="preserve">Following are some developments that </w:t>
      </w:r>
      <w:r w:rsidR="00937915">
        <w:rPr>
          <w:rFonts w:ascii="Times New Roman" w:hAnsi="Times New Roman" w:cs="Times New Roman"/>
        </w:rPr>
        <w:t>impact, directly or indirectly, the relevance and the impact of B3 and B4</w:t>
      </w:r>
      <w:r w:rsidR="00DB4EA9">
        <w:rPr>
          <w:rFonts w:ascii="Times New Roman" w:hAnsi="Times New Roman" w:cs="Times New Roman"/>
        </w:rPr>
        <w:t>.</w:t>
      </w:r>
    </w:p>
    <w:p w14:paraId="646C92C4" w14:textId="2A8BE58D" w:rsidR="00DC1561" w:rsidRPr="00096DD0" w:rsidRDefault="00544313" w:rsidP="0096648D">
      <w:pPr>
        <w:pStyle w:val="Heading5"/>
      </w:pPr>
      <w:r w:rsidRPr="00096DD0">
        <w:t xml:space="preserve">Convergence of rates </w:t>
      </w:r>
      <w:r w:rsidR="00582200" w:rsidRPr="00096DD0">
        <w:t>for capital gain and dividends</w:t>
      </w:r>
    </w:p>
    <w:p w14:paraId="6C266B76" w14:textId="4995E5BD" w:rsidR="00D33C4E" w:rsidRDefault="00906CA4" w:rsidP="0096648D">
      <w:pPr>
        <w:widowControl w:val="0"/>
        <w:spacing w:after="240" w:line="240" w:lineRule="auto"/>
        <w:rPr>
          <w:rFonts w:ascii="Times New Roman" w:hAnsi="Times New Roman" w:cs="Times New Roman"/>
        </w:rPr>
      </w:pPr>
      <w:r>
        <w:rPr>
          <w:rFonts w:ascii="Times New Roman" w:hAnsi="Times New Roman" w:cs="Times New Roman"/>
        </w:rPr>
        <w:t xml:space="preserve">The preferential rate </w:t>
      </w:r>
      <w:r w:rsidR="009E6CB1">
        <w:rPr>
          <w:rFonts w:ascii="Times New Roman" w:hAnsi="Times New Roman" w:cs="Times New Roman"/>
        </w:rPr>
        <w:t xml:space="preserve">for long-term capital gains for corporations was </w:t>
      </w:r>
      <w:r w:rsidR="008179C4">
        <w:rPr>
          <w:rFonts w:ascii="Times New Roman" w:hAnsi="Times New Roman" w:cs="Times New Roman"/>
        </w:rPr>
        <w:t>enacted</w:t>
      </w:r>
      <w:r w:rsidR="009E6CB1">
        <w:rPr>
          <w:rFonts w:ascii="Times New Roman" w:hAnsi="Times New Roman" w:cs="Times New Roman"/>
        </w:rPr>
        <w:t xml:space="preserve"> in </w:t>
      </w:r>
      <w:r w:rsidR="00162850">
        <w:rPr>
          <w:rFonts w:ascii="Times New Roman" w:hAnsi="Times New Roman" w:cs="Times New Roman"/>
        </w:rPr>
        <w:t>1942</w:t>
      </w:r>
      <w:r w:rsidR="00C953CF">
        <w:rPr>
          <w:rFonts w:ascii="Times New Roman" w:hAnsi="Times New Roman" w:cs="Times New Roman"/>
        </w:rPr>
        <w:t xml:space="preserve">, with </w:t>
      </w:r>
      <w:r w:rsidR="00566831">
        <w:rPr>
          <w:rFonts w:ascii="Times New Roman" w:hAnsi="Times New Roman" w:cs="Times New Roman"/>
        </w:rPr>
        <w:t>a</w:t>
      </w:r>
      <w:r w:rsidR="00D86139">
        <w:rPr>
          <w:rFonts w:ascii="Times New Roman" w:hAnsi="Times New Roman" w:cs="Times New Roman"/>
        </w:rPr>
        <w:t>n</w:t>
      </w:r>
      <w:r w:rsidR="00566831">
        <w:rPr>
          <w:rFonts w:ascii="Times New Roman" w:hAnsi="Times New Roman" w:cs="Times New Roman"/>
        </w:rPr>
        <w:t xml:space="preserve"> </w:t>
      </w:r>
      <w:r w:rsidR="00D86139">
        <w:rPr>
          <w:rFonts w:ascii="Times New Roman" w:hAnsi="Times New Roman" w:cs="Times New Roman"/>
        </w:rPr>
        <w:t>initial</w:t>
      </w:r>
      <w:r w:rsidR="00566831">
        <w:rPr>
          <w:rFonts w:ascii="Times New Roman" w:hAnsi="Times New Roman" w:cs="Times New Roman"/>
        </w:rPr>
        <w:t xml:space="preserve"> rate of 25 percent</w:t>
      </w:r>
      <w:r w:rsidR="00BF3071">
        <w:rPr>
          <w:rFonts w:ascii="Times New Roman" w:hAnsi="Times New Roman" w:cs="Times New Roman"/>
        </w:rPr>
        <w:t xml:space="preserve"> as compared to the </w:t>
      </w:r>
      <w:r w:rsidR="004F02E3">
        <w:rPr>
          <w:rFonts w:ascii="Times New Roman" w:hAnsi="Times New Roman" w:cs="Times New Roman"/>
        </w:rPr>
        <w:t xml:space="preserve">top </w:t>
      </w:r>
      <w:r w:rsidR="00BF3071">
        <w:rPr>
          <w:rFonts w:ascii="Times New Roman" w:hAnsi="Times New Roman" w:cs="Times New Roman"/>
        </w:rPr>
        <w:t>corporate</w:t>
      </w:r>
      <w:r w:rsidR="00895E4F">
        <w:rPr>
          <w:rFonts w:ascii="Times New Roman" w:hAnsi="Times New Roman" w:cs="Times New Roman"/>
        </w:rPr>
        <w:t xml:space="preserve"> tax</w:t>
      </w:r>
      <w:r w:rsidR="00BF3071">
        <w:rPr>
          <w:rFonts w:ascii="Times New Roman" w:hAnsi="Times New Roman" w:cs="Times New Roman"/>
        </w:rPr>
        <w:t xml:space="preserve"> rate of 40 percent</w:t>
      </w:r>
      <w:r w:rsidR="009D1697">
        <w:rPr>
          <w:rFonts w:ascii="Times New Roman" w:hAnsi="Times New Roman" w:cs="Times New Roman"/>
        </w:rPr>
        <w:t>.</w:t>
      </w:r>
      <w:r w:rsidR="00566831">
        <w:rPr>
          <w:rStyle w:val="FootnoteReference"/>
          <w:rFonts w:ascii="Times New Roman" w:hAnsi="Times New Roman" w:cs="Times New Roman"/>
        </w:rPr>
        <w:footnoteReference w:id="109"/>
      </w:r>
      <w:r w:rsidR="009D1697">
        <w:rPr>
          <w:rFonts w:ascii="Times New Roman" w:hAnsi="Times New Roman" w:cs="Times New Roman"/>
        </w:rPr>
        <w:t xml:space="preserve"> </w:t>
      </w:r>
      <w:r w:rsidR="00BF3071">
        <w:rPr>
          <w:rFonts w:ascii="Times New Roman" w:hAnsi="Times New Roman" w:cs="Times New Roman"/>
        </w:rPr>
        <w:t xml:space="preserve">By </w:t>
      </w:r>
      <w:r w:rsidR="00B87FE0">
        <w:rPr>
          <w:rFonts w:ascii="Times New Roman" w:hAnsi="Times New Roman" w:cs="Times New Roman"/>
        </w:rPr>
        <w:t xml:space="preserve">1962, </w:t>
      </w:r>
      <w:r w:rsidR="00100105">
        <w:rPr>
          <w:rFonts w:ascii="Times New Roman" w:hAnsi="Times New Roman" w:cs="Times New Roman"/>
        </w:rPr>
        <w:t xml:space="preserve">the </w:t>
      </w:r>
      <w:r w:rsidR="00111B08">
        <w:rPr>
          <w:rFonts w:ascii="Times New Roman" w:hAnsi="Times New Roman" w:cs="Times New Roman"/>
        </w:rPr>
        <w:t xml:space="preserve">top </w:t>
      </w:r>
      <w:r w:rsidR="00BF3071">
        <w:rPr>
          <w:rFonts w:ascii="Times New Roman" w:hAnsi="Times New Roman" w:cs="Times New Roman"/>
        </w:rPr>
        <w:t xml:space="preserve">corporate </w:t>
      </w:r>
      <w:r w:rsidR="00895E4F">
        <w:rPr>
          <w:rFonts w:ascii="Times New Roman" w:hAnsi="Times New Roman" w:cs="Times New Roman"/>
        </w:rPr>
        <w:t xml:space="preserve">tax </w:t>
      </w:r>
      <w:r w:rsidR="00BF3071">
        <w:rPr>
          <w:rFonts w:ascii="Times New Roman" w:hAnsi="Times New Roman" w:cs="Times New Roman"/>
        </w:rPr>
        <w:t>rate had increased to 5</w:t>
      </w:r>
      <w:r w:rsidR="008C44E5">
        <w:rPr>
          <w:rFonts w:ascii="Times New Roman" w:hAnsi="Times New Roman" w:cs="Times New Roman"/>
        </w:rPr>
        <w:t>2</w:t>
      </w:r>
      <w:r w:rsidR="00BF3071">
        <w:rPr>
          <w:rFonts w:ascii="Times New Roman" w:hAnsi="Times New Roman" w:cs="Times New Roman"/>
        </w:rPr>
        <w:t xml:space="preserve"> percent, while</w:t>
      </w:r>
      <w:r w:rsidR="003E7D22">
        <w:rPr>
          <w:rFonts w:ascii="Times New Roman" w:hAnsi="Times New Roman" w:cs="Times New Roman"/>
        </w:rPr>
        <w:t xml:space="preserve"> </w:t>
      </w:r>
      <w:r w:rsidR="00BF3071">
        <w:rPr>
          <w:rFonts w:ascii="Times New Roman" w:hAnsi="Times New Roman" w:cs="Times New Roman"/>
        </w:rPr>
        <w:t xml:space="preserve">the long-term </w:t>
      </w:r>
      <w:r w:rsidR="00900FDF">
        <w:rPr>
          <w:rFonts w:ascii="Times New Roman" w:hAnsi="Times New Roman" w:cs="Times New Roman"/>
        </w:rPr>
        <w:t xml:space="preserve">capital gain rate </w:t>
      </w:r>
      <w:r w:rsidR="00EC40B7">
        <w:rPr>
          <w:rFonts w:ascii="Times New Roman" w:hAnsi="Times New Roman" w:cs="Times New Roman"/>
        </w:rPr>
        <w:t>remained</w:t>
      </w:r>
      <w:r w:rsidR="00BF3071">
        <w:rPr>
          <w:rFonts w:ascii="Times New Roman" w:hAnsi="Times New Roman" w:cs="Times New Roman"/>
        </w:rPr>
        <w:t xml:space="preserve"> at </w:t>
      </w:r>
      <w:r w:rsidR="00900FDF">
        <w:rPr>
          <w:rFonts w:ascii="Times New Roman" w:hAnsi="Times New Roman" w:cs="Times New Roman"/>
        </w:rPr>
        <w:t>25</w:t>
      </w:r>
      <w:r w:rsidR="00464FD4">
        <w:rPr>
          <w:rFonts w:ascii="Times New Roman" w:hAnsi="Times New Roman" w:cs="Times New Roman"/>
        </w:rPr>
        <w:t xml:space="preserve"> </w:t>
      </w:r>
      <w:r w:rsidR="00900FDF">
        <w:rPr>
          <w:rFonts w:ascii="Times New Roman" w:hAnsi="Times New Roman" w:cs="Times New Roman"/>
        </w:rPr>
        <w:t>percent</w:t>
      </w:r>
      <w:r w:rsidR="00100105">
        <w:rPr>
          <w:rFonts w:ascii="Times New Roman" w:hAnsi="Times New Roman" w:cs="Times New Roman"/>
        </w:rPr>
        <w:t>.</w:t>
      </w:r>
      <w:r w:rsidR="00666637">
        <w:rPr>
          <w:rStyle w:val="FootnoteReference"/>
          <w:rFonts w:ascii="Times New Roman" w:hAnsi="Times New Roman" w:cs="Times New Roman"/>
        </w:rPr>
        <w:footnoteReference w:id="110"/>
      </w:r>
      <w:r w:rsidR="00100105">
        <w:rPr>
          <w:rFonts w:ascii="Times New Roman" w:hAnsi="Times New Roman" w:cs="Times New Roman"/>
        </w:rPr>
        <w:t xml:space="preserve"> </w:t>
      </w:r>
      <w:r w:rsidR="008C44E5">
        <w:rPr>
          <w:rFonts w:ascii="Times New Roman" w:hAnsi="Times New Roman" w:cs="Times New Roman"/>
        </w:rPr>
        <w:t xml:space="preserve">As of </w:t>
      </w:r>
      <w:r w:rsidR="00B87FE0">
        <w:rPr>
          <w:rFonts w:ascii="Times New Roman" w:hAnsi="Times New Roman" w:cs="Times New Roman"/>
        </w:rPr>
        <w:t>1976</w:t>
      </w:r>
      <w:r w:rsidR="00905633">
        <w:rPr>
          <w:rFonts w:ascii="Times New Roman" w:hAnsi="Times New Roman" w:cs="Times New Roman"/>
        </w:rPr>
        <w:t xml:space="preserve">, </w:t>
      </w:r>
      <w:r w:rsidR="00464FD4">
        <w:rPr>
          <w:rFonts w:ascii="Times New Roman" w:hAnsi="Times New Roman" w:cs="Times New Roman"/>
        </w:rPr>
        <w:t>the</w:t>
      </w:r>
      <w:r w:rsidR="00E96D20">
        <w:rPr>
          <w:rFonts w:ascii="Times New Roman" w:hAnsi="Times New Roman" w:cs="Times New Roman"/>
        </w:rPr>
        <w:t xml:space="preserve"> long-term</w:t>
      </w:r>
      <w:r w:rsidR="00464FD4">
        <w:rPr>
          <w:rFonts w:ascii="Times New Roman" w:hAnsi="Times New Roman" w:cs="Times New Roman"/>
        </w:rPr>
        <w:t xml:space="preserve"> capital gain rate </w:t>
      </w:r>
      <w:r w:rsidR="008C44E5">
        <w:rPr>
          <w:rFonts w:ascii="Times New Roman" w:hAnsi="Times New Roman" w:cs="Times New Roman"/>
        </w:rPr>
        <w:t xml:space="preserve">had increased to </w:t>
      </w:r>
      <w:r w:rsidR="00464FD4">
        <w:rPr>
          <w:rFonts w:ascii="Times New Roman" w:hAnsi="Times New Roman" w:cs="Times New Roman"/>
        </w:rPr>
        <w:t>30</w:t>
      </w:r>
      <w:r w:rsidR="0025222E">
        <w:rPr>
          <w:rFonts w:ascii="Times New Roman" w:hAnsi="Times New Roman" w:cs="Times New Roman"/>
        </w:rPr>
        <w:t xml:space="preserve"> </w:t>
      </w:r>
      <w:r w:rsidR="00464FD4">
        <w:rPr>
          <w:rFonts w:ascii="Times New Roman" w:hAnsi="Times New Roman" w:cs="Times New Roman"/>
        </w:rPr>
        <w:t xml:space="preserve">percent, </w:t>
      </w:r>
      <w:r w:rsidR="008C44E5">
        <w:rPr>
          <w:rFonts w:ascii="Times New Roman" w:hAnsi="Times New Roman" w:cs="Times New Roman"/>
        </w:rPr>
        <w:t xml:space="preserve">but still remained significantly lower than the </w:t>
      </w:r>
      <w:r w:rsidR="00111B08">
        <w:rPr>
          <w:rFonts w:ascii="Times New Roman" w:hAnsi="Times New Roman" w:cs="Times New Roman"/>
        </w:rPr>
        <w:t xml:space="preserve">top corporate income tax rate </w:t>
      </w:r>
      <w:r w:rsidR="00464FD4">
        <w:rPr>
          <w:rFonts w:ascii="Times New Roman" w:hAnsi="Times New Roman" w:cs="Times New Roman"/>
        </w:rPr>
        <w:t>o</w:t>
      </w:r>
      <w:r w:rsidR="00FD312A">
        <w:rPr>
          <w:rFonts w:ascii="Times New Roman" w:hAnsi="Times New Roman" w:cs="Times New Roman"/>
        </w:rPr>
        <w:t>f</w:t>
      </w:r>
      <w:r w:rsidR="00111B08">
        <w:rPr>
          <w:rFonts w:ascii="Times New Roman" w:hAnsi="Times New Roman" w:cs="Times New Roman"/>
        </w:rPr>
        <w:t xml:space="preserve"> </w:t>
      </w:r>
      <w:r w:rsidR="00824D93">
        <w:rPr>
          <w:rFonts w:ascii="Times New Roman" w:hAnsi="Times New Roman" w:cs="Times New Roman"/>
        </w:rPr>
        <w:t>48</w:t>
      </w:r>
      <w:r w:rsidR="00464FD4">
        <w:rPr>
          <w:rFonts w:ascii="Times New Roman" w:hAnsi="Times New Roman" w:cs="Times New Roman"/>
        </w:rPr>
        <w:t xml:space="preserve"> </w:t>
      </w:r>
      <w:r w:rsidR="00824D93">
        <w:rPr>
          <w:rFonts w:ascii="Times New Roman" w:hAnsi="Times New Roman" w:cs="Times New Roman"/>
        </w:rPr>
        <w:t>percent</w:t>
      </w:r>
      <w:r w:rsidR="00AD257D">
        <w:rPr>
          <w:rFonts w:ascii="Times New Roman" w:hAnsi="Times New Roman" w:cs="Times New Roman"/>
        </w:rPr>
        <w:t>.</w:t>
      </w:r>
      <w:r w:rsidR="00E920E2">
        <w:rPr>
          <w:rStyle w:val="FootnoteReference"/>
          <w:rFonts w:ascii="Times New Roman" w:hAnsi="Times New Roman" w:cs="Times New Roman"/>
        </w:rPr>
        <w:footnoteReference w:id="111"/>
      </w:r>
      <w:r w:rsidR="00AD257D">
        <w:rPr>
          <w:rFonts w:ascii="Times New Roman" w:hAnsi="Times New Roman" w:cs="Times New Roman"/>
        </w:rPr>
        <w:t xml:space="preserve"> </w:t>
      </w:r>
      <w:r w:rsidR="00124603">
        <w:rPr>
          <w:rFonts w:ascii="Times New Roman" w:hAnsi="Times New Roman" w:cs="Times New Roman"/>
        </w:rPr>
        <w:t>Effe</w:t>
      </w:r>
      <w:r w:rsidR="00E01008">
        <w:rPr>
          <w:rFonts w:ascii="Times New Roman" w:hAnsi="Times New Roman" w:cs="Times New Roman"/>
        </w:rPr>
        <w:t>c</w:t>
      </w:r>
      <w:r w:rsidR="00124603">
        <w:rPr>
          <w:rFonts w:ascii="Times New Roman" w:hAnsi="Times New Roman" w:cs="Times New Roman"/>
        </w:rPr>
        <w:t>tive</w:t>
      </w:r>
      <w:r w:rsidR="00124603" w:rsidDel="00895E4F">
        <w:rPr>
          <w:rFonts w:ascii="Times New Roman" w:hAnsi="Times New Roman" w:cs="Times New Roman"/>
        </w:rPr>
        <w:t xml:space="preserve"> </w:t>
      </w:r>
      <w:r w:rsidR="00124603">
        <w:rPr>
          <w:rFonts w:ascii="Times New Roman" w:hAnsi="Times New Roman" w:cs="Times New Roman"/>
        </w:rPr>
        <w:t>in 1988</w:t>
      </w:r>
      <w:r w:rsidR="00895E4F" w:rsidRPr="00895E4F">
        <w:rPr>
          <w:rFonts w:ascii="Times New Roman" w:hAnsi="Times New Roman" w:cs="Times New Roman"/>
        </w:rPr>
        <w:t xml:space="preserve"> </w:t>
      </w:r>
      <w:r w:rsidR="00895E4F">
        <w:rPr>
          <w:rFonts w:ascii="Times New Roman" w:hAnsi="Times New Roman" w:cs="Times New Roman"/>
        </w:rPr>
        <w:t>for calendar year taxpayers</w:t>
      </w:r>
      <w:r w:rsidR="00EC40B7" w:rsidRPr="00EC40B7">
        <w:rPr>
          <w:rStyle w:val="FootnoteReference"/>
          <w:rFonts w:ascii="Times New Roman" w:hAnsi="Times New Roman" w:cs="Times New Roman"/>
        </w:rPr>
        <w:t xml:space="preserve"> </w:t>
      </w:r>
      <w:r w:rsidR="00EC40B7">
        <w:rPr>
          <w:rStyle w:val="FootnoteReference"/>
          <w:rFonts w:ascii="Times New Roman" w:hAnsi="Times New Roman" w:cs="Times New Roman"/>
        </w:rPr>
        <w:footnoteReference w:id="112"/>
      </w:r>
      <w:r w:rsidR="008C44E5">
        <w:rPr>
          <w:rFonts w:ascii="Times New Roman" w:hAnsi="Times New Roman" w:cs="Times New Roman"/>
        </w:rPr>
        <w:t xml:space="preserve"> </w:t>
      </w:r>
      <w:r w:rsidR="00A918AE">
        <w:rPr>
          <w:rFonts w:ascii="Times New Roman" w:hAnsi="Times New Roman" w:cs="Times New Roman"/>
        </w:rPr>
        <w:t xml:space="preserve">Congress </w:t>
      </w:r>
      <w:r w:rsidR="004D7C9F">
        <w:rPr>
          <w:rFonts w:ascii="Times New Roman" w:hAnsi="Times New Roman" w:cs="Times New Roman"/>
        </w:rPr>
        <w:t xml:space="preserve">eliminated the </w:t>
      </w:r>
      <w:r w:rsidR="00791B07">
        <w:rPr>
          <w:rFonts w:ascii="Times New Roman" w:hAnsi="Times New Roman" w:cs="Times New Roman"/>
        </w:rPr>
        <w:t>preferential</w:t>
      </w:r>
      <w:r w:rsidR="00EF6340">
        <w:rPr>
          <w:rFonts w:ascii="Times New Roman" w:hAnsi="Times New Roman" w:cs="Times New Roman"/>
        </w:rPr>
        <w:t xml:space="preserve"> long-term </w:t>
      </w:r>
      <w:r w:rsidR="00DB4EA9" w:rsidRPr="00DB4EA9">
        <w:rPr>
          <w:rFonts w:ascii="Times New Roman" w:hAnsi="Times New Roman" w:cs="Times New Roman"/>
        </w:rPr>
        <w:t>capital gain</w:t>
      </w:r>
      <w:r w:rsidR="00EF6340">
        <w:rPr>
          <w:rFonts w:ascii="Times New Roman" w:hAnsi="Times New Roman" w:cs="Times New Roman"/>
        </w:rPr>
        <w:t xml:space="preserve"> </w:t>
      </w:r>
      <w:r w:rsidR="00DB4EA9" w:rsidRPr="00DB4EA9">
        <w:rPr>
          <w:rFonts w:ascii="Times New Roman" w:hAnsi="Times New Roman" w:cs="Times New Roman"/>
        </w:rPr>
        <w:t>rate for corporations</w:t>
      </w:r>
      <w:r w:rsidR="007960E5">
        <w:rPr>
          <w:rFonts w:ascii="Times New Roman" w:hAnsi="Times New Roman" w:cs="Times New Roman"/>
        </w:rPr>
        <w:t xml:space="preserve">, </w:t>
      </w:r>
      <w:r w:rsidR="00124603">
        <w:rPr>
          <w:rFonts w:ascii="Times New Roman" w:hAnsi="Times New Roman" w:cs="Times New Roman"/>
        </w:rPr>
        <w:t xml:space="preserve">thus </w:t>
      </w:r>
      <w:r w:rsidR="00267533">
        <w:rPr>
          <w:rFonts w:ascii="Times New Roman" w:hAnsi="Times New Roman" w:cs="Times New Roman"/>
        </w:rPr>
        <w:t xml:space="preserve">conforming the </w:t>
      </w:r>
      <w:r w:rsidR="00024DF8">
        <w:rPr>
          <w:rFonts w:ascii="Times New Roman" w:hAnsi="Times New Roman" w:cs="Times New Roman"/>
        </w:rPr>
        <w:t xml:space="preserve">capital gain rate </w:t>
      </w:r>
      <w:r w:rsidR="002C312B">
        <w:rPr>
          <w:rFonts w:ascii="Times New Roman" w:hAnsi="Times New Roman" w:cs="Times New Roman"/>
        </w:rPr>
        <w:t>to the corporate tax rate</w:t>
      </w:r>
      <w:r w:rsidR="000457B5">
        <w:rPr>
          <w:rFonts w:ascii="Times New Roman" w:hAnsi="Times New Roman" w:cs="Times New Roman"/>
        </w:rPr>
        <w:t xml:space="preserve">. </w:t>
      </w:r>
      <w:r w:rsidR="00465361">
        <w:rPr>
          <w:rFonts w:ascii="Times New Roman" w:hAnsi="Times New Roman" w:cs="Times New Roman"/>
        </w:rPr>
        <w:t xml:space="preserve">Since that time, corporate rates for capital gains and ordinary income have </w:t>
      </w:r>
      <w:r w:rsidR="00895E4F">
        <w:rPr>
          <w:rFonts w:ascii="Times New Roman" w:hAnsi="Times New Roman" w:cs="Times New Roman"/>
        </w:rPr>
        <w:t>not diverged</w:t>
      </w:r>
      <w:r w:rsidR="00465361">
        <w:rPr>
          <w:rFonts w:ascii="Times New Roman" w:hAnsi="Times New Roman" w:cs="Times New Roman"/>
        </w:rPr>
        <w:t>.</w:t>
      </w:r>
    </w:p>
    <w:p w14:paraId="6AAD24B9" w14:textId="7E08B3B0" w:rsidR="00D33C4E" w:rsidRDefault="009E3607" w:rsidP="0096648D">
      <w:pPr>
        <w:widowControl w:val="0"/>
        <w:spacing w:after="240" w:line="240" w:lineRule="auto"/>
        <w:rPr>
          <w:rFonts w:ascii="Times New Roman" w:hAnsi="Times New Roman" w:cs="Times New Roman"/>
        </w:rPr>
      </w:pPr>
      <w:r>
        <w:rPr>
          <w:rFonts w:ascii="Times New Roman" w:hAnsi="Times New Roman" w:cs="Times New Roman"/>
        </w:rPr>
        <w:t xml:space="preserve">For individuals, the preferential rate for capital gains </w:t>
      </w:r>
      <w:r w:rsidR="004847F6">
        <w:rPr>
          <w:rFonts w:ascii="Times New Roman" w:hAnsi="Times New Roman" w:cs="Times New Roman"/>
        </w:rPr>
        <w:t>relative to ordinary income has persisted. However, i</w:t>
      </w:r>
      <w:r w:rsidR="00D33C4E">
        <w:rPr>
          <w:rFonts w:ascii="Times New Roman" w:hAnsi="Times New Roman" w:cs="Times New Roman"/>
        </w:rPr>
        <w:t xml:space="preserve">n 2003, Congress enacted the </w:t>
      </w:r>
      <w:r w:rsidR="00D33C4E" w:rsidRPr="00595CA9">
        <w:rPr>
          <w:rFonts w:ascii="Times New Roman" w:hAnsi="Times New Roman" w:cs="Times New Roman"/>
        </w:rPr>
        <w:t>QDI</w:t>
      </w:r>
      <w:r w:rsidR="00D33C4E">
        <w:rPr>
          <w:rFonts w:ascii="Times New Roman" w:hAnsi="Times New Roman" w:cs="Times New Roman"/>
        </w:rPr>
        <w:t xml:space="preserve"> rules in </w:t>
      </w:r>
      <w:r w:rsidR="00282585">
        <w:rPr>
          <w:rFonts w:ascii="Times New Roman" w:hAnsi="Times New Roman" w:cs="Times New Roman"/>
        </w:rPr>
        <w:t xml:space="preserve">Code Sec. </w:t>
      </w:r>
      <w:r w:rsidR="00D33C4E">
        <w:rPr>
          <w:rFonts w:ascii="Times New Roman" w:hAnsi="Times New Roman" w:cs="Times New Roman"/>
        </w:rPr>
        <w:t>1(h)(11), which provide that QDI of an individual shareholder is subject to taxation at reduced long-term capital gain rates, rather than ordinary income rates.</w:t>
      </w:r>
      <w:r w:rsidR="00D33C4E">
        <w:rPr>
          <w:rStyle w:val="FootnoteReference"/>
          <w:rFonts w:ascii="Times New Roman" w:hAnsi="Times New Roman" w:cs="Times New Roman"/>
        </w:rPr>
        <w:footnoteReference w:id="113"/>
      </w:r>
      <w:r w:rsidR="00D33C4E">
        <w:rPr>
          <w:rFonts w:ascii="Times New Roman" w:hAnsi="Times New Roman" w:cs="Times New Roman"/>
        </w:rPr>
        <w:t xml:space="preserve"> While </w:t>
      </w:r>
      <w:r w:rsidR="00D33C4E" w:rsidRPr="00C8357B">
        <w:rPr>
          <w:rFonts w:ascii="Times New Roman" w:hAnsi="Times New Roman" w:cs="Times New Roman"/>
        </w:rPr>
        <w:t xml:space="preserve">QDI is taxed at capital gain rates, </w:t>
      </w:r>
      <w:r w:rsidR="00D33C4E">
        <w:rPr>
          <w:rFonts w:ascii="Times New Roman" w:hAnsi="Times New Roman" w:cs="Times New Roman"/>
        </w:rPr>
        <w:t>it is</w:t>
      </w:r>
      <w:r w:rsidR="00D33C4E" w:rsidRPr="00C8357B">
        <w:rPr>
          <w:rFonts w:ascii="Times New Roman" w:hAnsi="Times New Roman" w:cs="Times New Roman"/>
        </w:rPr>
        <w:t xml:space="preserve"> not “gain from the sale or exchange of a capital asset</w:t>
      </w:r>
      <w:r w:rsidR="00D33C4E">
        <w:rPr>
          <w:rFonts w:ascii="Times New Roman" w:hAnsi="Times New Roman" w:cs="Times New Roman"/>
        </w:rPr>
        <w:t>.”</w:t>
      </w:r>
      <w:r w:rsidR="004847F6">
        <w:rPr>
          <w:rStyle w:val="FootnoteReference"/>
          <w:rFonts w:ascii="Times New Roman" w:hAnsi="Times New Roman" w:cs="Times New Roman"/>
        </w:rPr>
        <w:footnoteReference w:id="114"/>
      </w:r>
      <w:r w:rsidR="00D33C4E" w:rsidDel="004847F6">
        <w:rPr>
          <w:rFonts w:ascii="Times New Roman" w:hAnsi="Times New Roman" w:cs="Times New Roman"/>
        </w:rPr>
        <w:t xml:space="preserve"> </w:t>
      </w:r>
      <w:r w:rsidR="00D33C4E">
        <w:rPr>
          <w:rFonts w:ascii="Times New Roman" w:hAnsi="Times New Roman" w:cs="Times New Roman"/>
        </w:rPr>
        <w:t>Therefore, an individual shareholder</w:t>
      </w:r>
      <w:r w:rsidR="00D33C4E" w:rsidRPr="00C8357B">
        <w:rPr>
          <w:rFonts w:ascii="Times New Roman" w:hAnsi="Times New Roman" w:cs="Times New Roman"/>
        </w:rPr>
        <w:t xml:space="preserve"> </w:t>
      </w:r>
      <w:r w:rsidR="00D33C4E">
        <w:rPr>
          <w:rFonts w:ascii="Times New Roman" w:hAnsi="Times New Roman" w:cs="Times New Roman"/>
        </w:rPr>
        <w:t xml:space="preserve">cannot offset its QDI with capital losses, except as </w:t>
      </w:r>
      <w:r w:rsidR="00D33C4E">
        <w:rPr>
          <w:rFonts w:ascii="Times New Roman" w:hAnsi="Times New Roman" w:cs="Times New Roman"/>
        </w:rPr>
        <w:lastRenderedPageBreak/>
        <w:t xml:space="preserve">generally permitted under </w:t>
      </w:r>
      <w:r w:rsidR="00986C90">
        <w:rPr>
          <w:rFonts w:ascii="Times New Roman" w:hAnsi="Times New Roman" w:cs="Times New Roman"/>
        </w:rPr>
        <w:t xml:space="preserve">Code Sec. </w:t>
      </w:r>
      <w:r w:rsidR="00D33C4E">
        <w:rPr>
          <w:rFonts w:ascii="Times New Roman" w:hAnsi="Times New Roman" w:cs="Times New Roman"/>
        </w:rPr>
        <w:t>1211(b).</w:t>
      </w:r>
      <w:r w:rsidR="00D33C4E">
        <w:rPr>
          <w:rStyle w:val="FootnoteReference"/>
          <w:rFonts w:ascii="Times New Roman" w:hAnsi="Times New Roman" w:cs="Times New Roman"/>
        </w:rPr>
        <w:footnoteReference w:id="115"/>
      </w:r>
    </w:p>
    <w:p w14:paraId="0F66CA91" w14:textId="5ABD7323" w:rsidR="00D33C4E" w:rsidRDefault="00D33C4E" w:rsidP="0096648D">
      <w:pPr>
        <w:widowControl w:val="0"/>
        <w:spacing w:after="240" w:line="240" w:lineRule="auto"/>
      </w:pPr>
      <w:r>
        <w:rPr>
          <w:rFonts w:ascii="Times New Roman" w:hAnsi="Times New Roman" w:cs="Times New Roman"/>
        </w:rPr>
        <w:t>QDI is income from dividends paid by either a domestic corporation or a qualified foreign corporation. A qualified foreign corporation is any corporation that is incorporated in a U.S. possession or is eligible for benefits of a comprehensive income tax treaty if it would qualify for the benefits of the treaty with respect to substantially all of its income in the tax year in which the dividend is paid.</w:t>
      </w:r>
      <w:r>
        <w:rPr>
          <w:rStyle w:val="FootnoteReference"/>
          <w:rFonts w:ascii="Times New Roman" w:hAnsi="Times New Roman" w:cs="Times New Roman"/>
        </w:rPr>
        <w:footnoteReference w:id="116"/>
      </w:r>
      <w:r>
        <w:rPr>
          <w:rFonts w:ascii="Times New Roman" w:hAnsi="Times New Roman" w:cs="Times New Roman"/>
        </w:rPr>
        <w:t xml:space="preserve"> In addition, a dividend paid by a foreign corporation with respect to stock that is publicly traded on a U.S. stock exchange is considered QDI, even if the foreign corporation is not a qualified foreign corporation.</w:t>
      </w:r>
      <w:r>
        <w:rPr>
          <w:rStyle w:val="FootnoteReference"/>
          <w:rFonts w:ascii="Times New Roman" w:hAnsi="Times New Roman" w:cs="Times New Roman"/>
        </w:rPr>
        <w:footnoteReference w:id="117"/>
      </w:r>
      <w:r>
        <w:rPr>
          <w:rFonts w:ascii="Times New Roman" w:hAnsi="Times New Roman" w:cs="Times New Roman"/>
        </w:rPr>
        <w:t xml:space="preserve"> However, dividends paid by a qualified foreign corporation that is a passive foreign investment corporation (“</w:t>
      </w:r>
      <w:r w:rsidRPr="003E7D22">
        <w:rPr>
          <w:rFonts w:ascii="Times New Roman" w:hAnsi="Times New Roman" w:cs="Times New Roman"/>
          <w:b/>
          <w:bCs/>
        </w:rPr>
        <w:t>PFIC</w:t>
      </w:r>
      <w:r>
        <w:rPr>
          <w:rFonts w:ascii="Times New Roman" w:hAnsi="Times New Roman" w:cs="Times New Roman"/>
        </w:rPr>
        <w:t xml:space="preserve">”) or a surrogate foreign corporation under </w:t>
      </w:r>
      <w:r w:rsidR="00986C90">
        <w:rPr>
          <w:rFonts w:ascii="Times New Roman" w:hAnsi="Times New Roman" w:cs="Times New Roman"/>
        </w:rPr>
        <w:t xml:space="preserve">Code Sec. </w:t>
      </w:r>
      <w:r>
        <w:rPr>
          <w:rFonts w:ascii="Times New Roman" w:hAnsi="Times New Roman" w:cs="Times New Roman"/>
        </w:rPr>
        <w:t>7874 are not QDI.</w:t>
      </w:r>
      <w:r>
        <w:rPr>
          <w:rStyle w:val="FootnoteReference"/>
          <w:rFonts w:ascii="Times New Roman" w:hAnsi="Times New Roman" w:cs="Times New Roman"/>
        </w:rPr>
        <w:footnoteReference w:id="118"/>
      </w:r>
      <w:r>
        <w:rPr>
          <w:rFonts w:ascii="Times New Roman" w:hAnsi="Times New Roman" w:cs="Times New Roman"/>
        </w:rPr>
        <w:t xml:space="preserve"> The QDI rules also have a holding period requirement, which modifies the </w:t>
      </w:r>
      <w:r w:rsidR="00986C90">
        <w:rPr>
          <w:rFonts w:ascii="Times New Roman" w:hAnsi="Times New Roman" w:cs="Times New Roman"/>
        </w:rPr>
        <w:t xml:space="preserve">Code Sec. </w:t>
      </w:r>
      <w:r>
        <w:rPr>
          <w:rFonts w:ascii="Times New Roman" w:hAnsi="Times New Roman" w:cs="Times New Roman"/>
        </w:rPr>
        <w:t>246(c) holding period from 45 days in a 91</w:t>
      </w:r>
      <w:r w:rsidR="00986C90">
        <w:rPr>
          <w:rFonts w:ascii="Times New Roman" w:hAnsi="Times New Roman" w:cs="Times New Roman"/>
        </w:rPr>
        <w:t>-</w:t>
      </w:r>
      <w:r>
        <w:rPr>
          <w:rFonts w:ascii="Times New Roman" w:hAnsi="Times New Roman" w:cs="Times New Roman"/>
        </w:rPr>
        <w:t xml:space="preserve">day period to 60 days in a </w:t>
      </w:r>
      <w:r w:rsidR="008923AA">
        <w:rPr>
          <w:rFonts w:ascii="Times New Roman" w:hAnsi="Times New Roman" w:cs="Times New Roman"/>
        </w:rPr>
        <w:t>121-</w:t>
      </w:r>
      <w:r>
        <w:rPr>
          <w:rFonts w:ascii="Times New Roman" w:hAnsi="Times New Roman" w:cs="Times New Roman"/>
        </w:rPr>
        <w:t>day period.</w:t>
      </w:r>
      <w:r>
        <w:rPr>
          <w:rStyle w:val="FootnoteReference"/>
          <w:rFonts w:ascii="Times New Roman" w:hAnsi="Times New Roman" w:cs="Times New Roman"/>
        </w:rPr>
        <w:footnoteReference w:id="119"/>
      </w:r>
    </w:p>
    <w:p w14:paraId="27074B5C" w14:textId="279435AF" w:rsidR="00DB4EA9" w:rsidRPr="00D33C4E" w:rsidRDefault="00D33C4E" w:rsidP="0096648D">
      <w:pPr>
        <w:pStyle w:val="Heading5"/>
      </w:pPr>
      <w:r>
        <w:t xml:space="preserve">Code Sec. 986(c) and </w:t>
      </w:r>
      <w:r w:rsidR="00986C90">
        <w:t xml:space="preserve">IRS </w:t>
      </w:r>
      <w:r>
        <w:t>Notice 88-71</w:t>
      </w:r>
    </w:p>
    <w:p w14:paraId="5DE2D60C" w14:textId="300F63C4" w:rsidR="00DB4EA9" w:rsidRPr="00DB4EA9" w:rsidRDefault="00DB4EA9" w:rsidP="0096648D">
      <w:pPr>
        <w:widowControl w:val="0"/>
        <w:spacing w:after="240" w:line="240" w:lineRule="auto"/>
        <w:rPr>
          <w:rFonts w:ascii="Times New Roman" w:hAnsi="Times New Roman" w:cs="Times New Roman"/>
        </w:rPr>
      </w:pPr>
      <w:r w:rsidRPr="00DB4EA9">
        <w:rPr>
          <w:rFonts w:ascii="Times New Roman" w:hAnsi="Times New Roman" w:cs="Times New Roman"/>
        </w:rPr>
        <w:t xml:space="preserve">In 1986, Congress enacted </w:t>
      </w:r>
      <w:r w:rsidR="004F21F7">
        <w:rPr>
          <w:rFonts w:ascii="Times New Roman" w:hAnsi="Times New Roman" w:cs="Times New Roman"/>
        </w:rPr>
        <w:t>Code Sec.</w:t>
      </w:r>
      <w:r w:rsidRPr="00DB4EA9">
        <w:rPr>
          <w:rFonts w:ascii="Times New Roman" w:hAnsi="Times New Roman" w:cs="Times New Roman"/>
        </w:rPr>
        <w:t xml:space="preserve"> 986(c), which taxes foreign currency gain or loss on the distribution (or deemed distribution) of PTEP. </w:t>
      </w:r>
      <w:r w:rsidR="0040632B">
        <w:rPr>
          <w:rFonts w:ascii="Times New Roman" w:hAnsi="Times New Roman" w:cs="Times New Roman"/>
        </w:rPr>
        <w:t>Where a CFC maintains</w:t>
      </w:r>
      <w:r w:rsidRPr="00DB4EA9">
        <w:rPr>
          <w:rFonts w:ascii="Times New Roman" w:hAnsi="Times New Roman" w:cs="Times New Roman"/>
        </w:rPr>
        <w:t xml:space="preserve"> </w:t>
      </w:r>
      <w:r w:rsidR="005951AB">
        <w:rPr>
          <w:rFonts w:ascii="Times New Roman" w:hAnsi="Times New Roman" w:cs="Times New Roman"/>
        </w:rPr>
        <w:t>E&amp;P</w:t>
      </w:r>
      <w:r w:rsidR="00B42D52">
        <w:rPr>
          <w:rFonts w:ascii="Times New Roman" w:hAnsi="Times New Roman" w:cs="Times New Roman"/>
        </w:rPr>
        <w:t>, including PTEP,</w:t>
      </w:r>
      <w:r w:rsidRPr="00DB4EA9">
        <w:rPr>
          <w:rFonts w:ascii="Times New Roman" w:hAnsi="Times New Roman" w:cs="Times New Roman"/>
        </w:rPr>
        <w:t xml:space="preserve"> in </w:t>
      </w:r>
      <w:r w:rsidR="00B42D52">
        <w:rPr>
          <w:rFonts w:ascii="Times New Roman" w:hAnsi="Times New Roman" w:cs="Times New Roman"/>
        </w:rPr>
        <w:t xml:space="preserve">a </w:t>
      </w:r>
      <w:r w:rsidRPr="00DB4EA9">
        <w:rPr>
          <w:rFonts w:ascii="Times New Roman" w:hAnsi="Times New Roman" w:cs="Times New Roman"/>
        </w:rPr>
        <w:t>functional currency</w:t>
      </w:r>
      <w:r w:rsidR="00B42D52">
        <w:rPr>
          <w:rFonts w:ascii="Times New Roman" w:hAnsi="Times New Roman" w:cs="Times New Roman"/>
        </w:rPr>
        <w:t xml:space="preserve"> other than</w:t>
      </w:r>
      <w:r w:rsidRPr="00DB4EA9">
        <w:rPr>
          <w:rFonts w:ascii="Times New Roman" w:hAnsi="Times New Roman" w:cs="Times New Roman"/>
        </w:rPr>
        <w:t xml:space="preserve"> the U.S. </w:t>
      </w:r>
      <w:r w:rsidR="005951AB">
        <w:rPr>
          <w:rFonts w:ascii="Times New Roman" w:hAnsi="Times New Roman" w:cs="Times New Roman"/>
        </w:rPr>
        <w:t>d</w:t>
      </w:r>
      <w:r w:rsidRPr="00DB4EA9">
        <w:rPr>
          <w:rFonts w:ascii="Times New Roman" w:hAnsi="Times New Roman" w:cs="Times New Roman"/>
        </w:rPr>
        <w:t>ollar</w:t>
      </w:r>
      <w:r w:rsidR="00B42D52">
        <w:rPr>
          <w:rFonts w:ascii="Times New Roman" w:hAnsi="Times New Roman" w:cs="Times New Roman"/>
        </w:rPr>
        <w:t xml:space="preserve">, </w:t>
      </w:r>
      <w:r w:rsidR="00593089">
        <w:rPr>
          <w:rFonts w:ascii="Times New Roman" w:hAnsi="Times New Roman" w:cs="Times New Roman"/>
        </w:rPr>
        <w:t>Code Sec.</w:t>
      </w:r>
      <w:r w:rsidR="00DE45C2">
        <w:rPr>
          <w:rFonts w:ascii="Times New Roman" w:hAnsi="Times New Roman" w:cs="Times New Roman"/>
        </w:rPr>
        <w:t xml:space="preserve"> 986(c) </w:t>
      </w:r>
      <w:r w:rsidR="00FA1325">
        <w:rPr>
          <w:rFonts w:ascii="Times New Roman" w:hAnsi="Times New Roman" w:cs="Times New Roman"/>
        </w:rPr>
        <w:t>requires the recognition</w:t>
      </w:r>
      <w:r w:rsidRPr="00DB4EA9">
        <w:rPr>
          <w:rFonts w:ascii="Times New Roman" w:hAnsi="Times New Roman" w:cs="Times New Roman"/>
        </w:rPr>
        <w:t xml:space="preserve"> of </w:t>
      </w:r>
      <w:r w:rsidR="00FA1325">
        <w:rPr>
          <w:rFonts w:ascii="Times New Roman" w:hAnsi="Times New Roman" w:cs="Times New Roman"/>
        </w:rPr>
        <w:t xml:space="preserve">gain </w:t>
      </w:r>
      <w:r w:rsidR="003A45A9">
        <w:rPr>
          <w:rFonts w:ascii="Times New Roman" w:hAnsi="Times New Roman" w:cs="Times New Roman"/>
        </w:rPr>
        <w:t>or loss i</w:t>
      </w:r>
      <w:r w:rsidRPr="00DB4EA9">
        <w:rPr>
          <w:rFonts w:ascii="Times New Roman" w:hAnsi="Times New Roman" w:cs="Times New Roman"/>
        </w:rPr>
        <w:t>f there ha</w:t>
      </w:r>
      <w:r w:rsidR="00246F2B">
        <w:rPr>
          <w:rFonts w:ascii="Times New Roman" w:hAnsi="Times New Roman" w:cs="Times New Roman"/>
        </w:rPr>
        <w:t>ve</w:t>
      </w:r>
      <w:r w:rsidRPr="00DB4EA9">
        <w:rPr>
          <w:rFonts w:ascii="Times New Roman" w:hAnsi="Times New Roman" w:cs="Times New Roman"/>
        </w:rPr>
        <w:t xml:space="preserve"> been movements in exchange rates between the time of the deemed distribution and the actual distribution</w:t>
      </w:r>
      <w:r w:rsidR="00935446">
        <w:rPr>
          <w:rFonts w:ascii="Times New Roman" w:hAnsi="Times New Roman" w:cs="Times New Roman"/>
        </w:rPr>
        <w:t xml:space="preserve"> of PTEP</w:t>
      </w:r>
      <w:r w:rsidR="003E6C08">
        <w:rPr>
          <w:rFonts w:ascii="Times New Roman" w:hAnsi="Times New Roman" w:cs="Times New Roman"/>
        </w:rPr>
        <w:t>.</w:t>
      </w:r>
      <w:r w:rsidR="00C409E0">
        <w:rPr>
          <w:rStyle w:val="FootnoteReference"/>
          <w:rFonts w:ascii="Times New Roman" w:hAnsi="Times New Roman" w:cs="Times New Roman"/>
        </w:rPr>
        <w:footnoteReference w:id="120"/>
      </w:r>
      <w:r w:rsidRPr="00DB4EA9">
        <w:rPr>
          <w:rFonts w:ascii="Times New Roman" w:hAnsi="Times New Roman" w:cs="Times New Roman"/>
        </w:rPr>
        <w:t xml:space="preserve"> </w:t>
      </w:r>
      <w:r w:rsidR="00593089">
        <w:rPr>
          <w:rFonts w:ascii="Times New Roman" w:hAnsi="Times New Roman" w:cs="Times New Roman"/>
        </w:rPr>
        <w:t>Code Sec.</w:t>
      </w:r>
      <w:r w:rsidRPr="00DB4EA9">
        <w:rPr>
          <w:rFonts w:ascii="Times New Roman" w:hAnsi="Times New Roman" w:cs="Times New Roman"/>
        </w:rPr>
        <w:t xml:space="preserve"> 986(c) gain or loss is treated as ordinary income or loss from the same source as the associated income inclusion. </w:t>
      </w:r>
      <w:r w:rsidR="00593089">
        <w:rPr>
          <w:rFonts w:ascii="Times New Roman" w:hAnsi="Times New Roman" w:cs="Times New Roman"/>
        </w:rPr>
        <w:t xml:space="preserve">IRS </w:t>
      </w:r>
      <w:r w:rsidRPr="00DB4EA9">
        <w:rPr>
          <w:rFonts w:ascii="Times New Roman" w:hAnsi="Times New Roman" w:cs="Times New Roman"/>
        </w:rPr>
        <w:t xml:space="preserve">Notice 88-71 announced that regulations will provide that, solely for purposes of computing </w:t>
      </w:r>
      <w:r w:rsidR="002F16B9">
        <w:rPr>
          <w:rFonts w:ascii="Times New Roman" w:hAnsi="Times New Roman" w:cs="Times New Roman"/>
        </w:rPr>
        <w:t xml:space="preserve">Code Sec. </w:t>
      </w:r>
      <w:r w:rsidRPr="00DB4EA9">
        <w:rPr>
          <w:rFonts w:ascii="Times New Roman" w:hAnsi="Times New Roman" w:cs="Times New Roman"/>
        </w:rPr>
        <w:t xml:space="preserve">986(c) gain or loss, PTEP attributable to stock “with respect to which a </w:t>
      </w:r>
      <w:r w:rsidR="00366F5B">
        <w:rPr>
          <w:rFonts w:ascii="Times New Roman" w:hAnsi="Times New Roman" w:cs="Times New Roman"/>
        </w:rPr>
        <w:t>section</w:t>
      </w:r>
      <w:r w:rsidR="004C37E3" w:rsidRPr="00DB4EA9">
        <w:rPr>
          <w:rFonts w:ascii="Times New Roman" w:hAnsi="Times New Roman" w:cs="Times New Roman"/>
        </w:rPr>
        <w:t xml:space="preserve"> </w:t>
      </w:r>
      <w:r w:rsidRPr="00DB4EA9">
        <w:rPr>
          <w:rFonts w:ascii="Times New Roman" w:hAnsi="Times New Roman" w:cs="Times New Roman"/>
        </w:rPr>
        <w:t xml:space="preserve">1248 transaction…is relevant” is treated as distributed immediately prior to the transaction for purposes of computing </w:t>
      </w:r>
      <w:r w:rsidR="00CD49F1">
        <w:rPr>
          <w:rFonts w:ascii="Times New Roman" w:hAnsi="Times New Roman" w:cs="Times New Roman"/>
        </w:rPr>
        <w:t>foreign currency</w:t>
      </w:r>
      <w:r w:rsidRPr="00DB4EA9">
        <w:rPr>
          <w:rFonts w:ascii="Times New Roman" w:hAnsi="Times New Roman" w:cs="Times New Roman"/>
        </w:rPr>
        <w:t xml:space="preserve"> gain or loss on the PTEP.</w:t>
      </w:r>
      <w:r w:rsidR="00BA75FA">
        <w:rPr>
          <w:rStyle w:val="FootnoteReference"/>
          <w:rFonts w:ascii="Times New Roman" w:hAnsi="Times New Roman" w:cs="Times New Roman"/>
        </w:rPr>
        <w:footnoteReference w:id="121"/>
      </w:r>
      <w:r w:rsidRPr="00DB4EA9">
        <w:rPr>
          <w:rFonts w:ascii="Times New Roman" w:hAnsi="Times New Roman" w:cs="Times New Roman"/>
        </w:rPr>
        <w:t xml:space="preserve"> The </w:t>
      </w:r>
      <w:r w:rsidR="00BA75FA">
        <w:rPr>
          <w:rFonts w:ascii="Times New Roman" w:hAnsi="Times New Roman" w:cs="Times New Roman"/>
        </w:rPr>
        <w:t>foreign currency</w:t>
      </w:r>
      <w:r w:rsidRPr="00DB4EA9">
        <w:rPr>
          <w:rFonts w:ascii="Times New Roman" w:hAnsi="Times New Roman" w:cs="Times New Roman"/>
        </w:rPr>
        <w:t xml:space="preserve"> income (or loss) recognized increases (or decreases) the U</w:t>
      </w:r>
      <w:r w:rsidR="000747D4">
        <w:rPr>
          <w:rFonts w:ascii="Times New Roman" w:hAnsi="Times New Roman" w:cs="Times New Roman"/>
        </w:rPr>
        <w:t>.</w:t>
      </w:r>
      <w:r w:rsidRPr="00DB4EA9">
        <w:rPr>
          <w:rFonts w:ascii="Times New Roman" w:hAnsi="Times New Roman" w:cs="Times New Roman"/>
        </w:rPr>
        <w:t>S</w:t>
      </w:r>
      <w:r w:rsidR="000747D4">
        <w:rPr>
          <w:rFonts w:ascii="Times New Roman" w:hAnsi="Times New Roman" w:cs="Times New Roman"/>
        </w:rPr>
        <w:t>.</w:t>
      </w:r>
      <w:r w:rsidRPr="00DB4EA9">
        <w:rPr>
          <w:rFonts w:ascii="Times New Roman" w:hAnsi="Times New Roman" w:cs="Times New Roman"/>
        </w:rPr>
        <w:t xml:space="preserve"> shareholder's basis in the stock of the foreign corporation for purposes of computing gain or loss with respect to the stock in the transaction.</w:t>
      </w:r>
      <w:r w:rsidR="00DA745D">
        <w:rPr>
          <w:rStyle w:val="FootnoteReference"/>
          <w:rFonts w:ascii="Times New Roman" w:hAnsi="Times New Roman" w:cs="Times New Roman"/>
        </w:rPr>
        <w:footnoteReference w:id="122"/>
      </w:r>
    </w:p>
    <w:p w14:paraId="623A6B17" w14:textId="72B1EECA" w:rsidR="00DB4EA9" w:rsidRDefault="00DB4EA9" w:rsidP="0096648D">
      <w:pPr>
        <w:widowControl w:val="0"/>
        <w:spacing w:after="240" w:line="240" w:lineRule="auto"/>
        <w:rPr>
          <w:rFonts w:ascii="Times New Roman" w:hAnsi="Times New Roman" w:cs="Times New Roman"/>
        </w:rPr>
      </w:pPr>
      <w:r w:rsidRPr="00DB4EA9">
        <w:rPr>
          <w:rFonts w:ascii="Times New Roman" w:hAnsi="Times New Roman" w:cs="Times New Roman"/>
        </w:rPr>
        <w:t xml:space="preserve">As is relevant to the </w:t>
      </w:r>
      <w:r w:rsidR="00EB01C6">
        <w:rPr>
          <w:rFonts w:ascii="Times New Roman" w:hAnsi="Times New Roman" w:cs="Times New Roman"/>
        </w:rPr>
        <w:t>367(b) regulations</w:t>
      </w:r>
      <w:r w:rsidRPr="00DB4EA9">
        <w:rPr>
          <w:rFonts w:ascii="Times New Roman" w:hAnsi="Times New Roman" w:cs="Times New Roman"/>
        </w:rPr>
        <w:t>, if an exchanging shareholder that is a U</w:t>
      </w:r>
      <w:r w:rsidR="000747D4">
        <w:rPr>
          <w:rFonts w:ascii="Times New Roman" w:hAnsi="Times New Roman" w:cs="Times New Roman"/>
        </w:rPr>
        <w:t>.</w:t>
      </w:r>
      <w:r w:rsidRPr="00DB4EA9">
        <w:rPr>
          <w:rFonts w:ascii="Times New Roman" w:hAnsi="Times New Roman" w:cs="Times New Roman"/>
        </w:rPr>
        <w:t>S</w:t>
      </w:r>
      <w:r w:rsidR="000747D4">
        <w:rPr>
          <w:rFonts w:ascii="Times New Roman" w:hAnsi="Times New Roman" w:cs="Times New Roman"/>
        </w:rPr>
        <w:t>.</w:t>
      </w:r>
      <w:r w:rsidRPr="00DB4EA9">
        <w:rPr>
          <w:rFonts w:ascii="Times New Roman" w:hAnsi="Times New Roman" w:cs="Times New Roman"/>
        </w:rPr>
        <w:t xml:space="preserve"> person includes in income either an </w:t>
      </w:r>
      <w:r w:rsidR="00475567">
        <w:rPr>
          <w:rFonts w:ascii="Times New Roman" w:hAnsi="Times New Roman" w:cs="Times New Roman"/>
        </w:rPr>
        <w:t>all E&amp;P amount</w:t>
      </w:r>
      <w:r w:rsidRPr="00DB4EA9">
        <w:rPr>
          <w:rFonts w:ascii="Times New Roman" w:hAnsi="Times New Roman" w:cs="Times New Roman"/>
        </w:rPr>
        <w:t xml:space="preserve"> or 1248 amount under B3 or B4, then immediately prior to the exchange, solely for purposes of computing </w:t>
      </w:r>
      <w:r w:rsidR="006D5BDE">
        <w:rPr>
          <w:rFonts w:ascii="Times New Roman" w:hAnsi="Times New Roman" w:cs="Times New Roman"/>
        </w:rPr>
        <w:t>foreign currency</w:t>
      </w:r>
      <w:r w:rsidR="006D5BDE" w:rsidRPr="00DB4EA9">
        <w:rPr>
          <w:rFonts w:ascii="Times New Roman" w:hAnsi="Times New Roman" w:cs="Times New Roman"/>
        </w:rPr>
        <w:t xml:space="preserve"> </w:t>
      </w:r>
      <w:r w:rsidRPr="00DB4EA9">
        <w:rPr>
          <w:rFonts w:ascii="Times New Roman" w:hAnsi="Times New Roman" w:cs="Times New Roman"/>
        </w:rPr>
        <w:t xml:space="preserve">income or loss under </w:t>
      </w:r>
      <w:r w:rsidR="00FD16D9">
        <w:rPr>
          <w:rFonts w:ascii="Times New Roman" w:hAnsi="Times New Roman" w:cs="Times New Roman"/>
        </w:rPr>
        <w:t xml:space="preserve">Code Sec. </w:t>
      </w:r>
      <w:r w:rsidRPr="00DB4EA9">
        <w:rPr>
          <w:rFonts w:ascii="Times New Roman" w:hAnsi="Times New Roman" w:cs="Times New Roman"/>
        </w:rPr>
        <w:t xml:space="preserve">986(c), the shareholder is treated as receiving a distribution of PTEP from the appropriate foreign corporation that is attributable (under the principles of </w:t>
      </w:r>
      <w:r w:rsidR="00FD16D9">
        <w:rPr>
          <w:rFonts w:ascii="Times New Roman" w:hAnsi="Times New Roman" w:cs="Times New Roman"/>
        </w:rPr>
        <w:t xml:space="preserve">Code Sec. </w:t>
      </w:r>
      <w:r w:rsidRPr="00DB4EA9">
        <w:rPr>
          <w:rFonts w:ascii="Times New Roman" w:hAnsi="Times New Roman" w:cs="Times New Roman"/>
        </w:rPr>
        <w:t>1248) to the exchanged stock.</w:t>
      </w:r>
      <w:r w:rsidR="004A3203">
        <w:rPr>
          <w:rStyle w:val="FootnoteReference"/>
          <w:rFonts w:ascii="Times New Roman" w:hAnsi="Times New Roman" w:cs="Times New Roman"/>
        </w:rPr>
        <w:footnoteReference w:id="123"/>
      </w:r>
      <w:r w:rsidRPr="00DB4EA9">
        <w:rPr>
          <w:rFonts w:ascii="Times New Roman" w:hAnsi="Times New Roman" w:cs="Times New Roman"/>
        </w:rPr>
        <w:t xml:space="preserve"> </w:t>
      </w:r>
      <w:r w:rsidR="00CF68ED" w:rsidRPr="00CF68ED">
        <w:rPr>
          <w:rFonts w:ascii="Times New Roman" w:hAnsi="Times New Roman" w:cs="Times New Roman"/>
        </w:rPr>
        <w:t xml:space="preserve">The exchange gain or loss recognized </w:t>
      </w:r>
      <w:r w:rsidR="00CF68ED">
        <w:rPr>
          <w:rFonts w:ascii="Times New Roman" w:hAnsi="Times New Roman" w:cs="Times New Roman"/>
        </w:rPr>
        <w:t xml:space="preserve">by </w:t>
      </w:r>
      <w:r w:rsidR="004A3203">
        <w:rPr>
          <w:rFonts w:ascii="Times New Roman" w:hAnsi="Times New Roman" w:cs="Times New Roman"/>
        </w:rPr>
        <w:t xml:space="preserve">a exchanging shareholder that is a U.S. person </w:t>
      </w:r>
      <w:r w:rsidR="00CF68ED" w:rsidRPr="00CF68ED">
        <w:rPr>
          <w:rFonts w:ascii="Times New Roman" w:hAnsi="Times New Roman" w:cs="Times New Roman"/>
        </w:rPr>
        <w:t xml:space="preserve">will increase or decrease the shareholder's </w:t>
      </w:r>
      <w:r w:rsidR="00CF68ED" w:rsidRPr="00CF68ED">
        <w:rPr>
          <w:rFonts w:ascii="Times New Roman" w:hAnsi="Times New Roman" w:cs="Times New Roman"/>
        </w:rPr>
        <w:lastRenderedPageBreak/>
        <w:t>adjusted basis in the stock of the foreign corporation</w:t>
      </w:r>
      <w:r w:rsidR="004A3203">
        <w:rPr>
          <w:rFonts w:ascii="Times New Roman" w:hAnsi="Times New Roman" w:cs="Times New Roman"/>
        </w:rPr>
        <w:t>.</w:t>
      </w:r>
      <w:r w:rsidR="00892ACE">
        <w:rPr>
          <w:rStyle w:val="FootnoteReference"/>
          <w:rFonts w:ascii="Times New Roman" w:hAnsi="Times New Roman" w:cs="Times New Roman"/>
        </w:rPr>
        <w:footnoteReference w:id="124"/>
      </w:r>
      <w:r w:rsidR="00CF68ED" w:rsidRPr="00CF68ED">
        <w:rPr>
          <w:rFonts w:ascii="Times New Roman" w:hAnsi="Times New Roman" w:cs="Times New Roman"/>
        </w:rPr>
        <w:t xml:space="preserve"> </w:t>
      </w:r>
      <w:r w:rsidRPr="00DB4EA9">
        <w:rPr>
          <w:rFonts w:ascii="Times New Roman" w:hAnsi="Times New Roman" w:cs="Times New Roman"/>
        </w:rPr>
        <w:t>If an exchanging shareholder is foreign, PTEP is treated as distributed to the shareholder for all purposes</w:t>
      </w:r>
      <w:r w:rsidR="004C07EB">
        <w:rPr>
          <w:rFonts w:ascii="Times New Roman" w:hAnsi="Times New Roman" w:cs="Times New Roman"/>
        </w:rPr>
        <w:t xml:space="preserve"> (</w:t>
      </w:r>
      <w:r w:rsidR="004C07EB">
        <w:rPr>
          <w:rFonts w:ascii="Times New Roman" w:hAnsi="Times New Roman" w:cs="Times New Roman"/>
          <w:i/>
          <w:iCs/>
        </w:rPr>
        <w:t>i.e.</w:t>
      </w:r>
      <w:r w:rsidR="004C07EB">
        <w:rPr>
          <w:rFonts w:ascii="Times New Roman" w:hAnsi="Times New Roman" w:cs="Times New Roman"/>
        </w:rPr>
        <w:t>, the PTEP moves up to the shareholder)</w:t>
      </w:r>
      <w:r w:rsidRPr="00DB4EA9">
        <w:rPr>
          <w:rFonts w:ascii="Times New Roman" w:hAnsi="Times New Roman" w:cs="Times New Roman"/>
        </w:rPr>
        <w:t>.</w:t>
      </w:r>
      <w:r w:rsidR="00892ACE">
        <w:rPr>
          <w:rStyle w:val="FootnoteReference"/>
          <w:rFonts w:ascii="Times New Roman" w:hAnsi="Times New Roman" w:cs="Times New Roman"/>
        </w:rPr>
        <w:footnoteReference w:id="125"/>
      </w:r>
    </w:p>
    <w:p w14:paraId="082F768E" w14:textId="37FDD0E2" w:rsidR="00D33C4E" w:rsidRPr="00D33C4E" w:rsidRDefault="00D33C4E" w:rsidP="0096648D">
      <w:pPr>
        <w:pStyle w:val="Heading5"/>
      </w:pPr>
      <w:r>
        <w:t>Code Sec. 362(e)(1) and the importation of basis</w:t>
      </w:r>
    </w:p>
    <w:p w14:paraId="00926DEB" w14:textId="2E638511" w:rsidR="00AC5009" w:rsidRDefault="000F3801" w:rsidP="0096648D">
      <w:pPr>
        <w:widowControl w:val="0"/>
        <w:spacing w:after="240" w:line="240" w:lineRule="auto"/>
        <w:rPr>
          <w:rFonts w:ascii="Times New Roman" w:hAnsi="Times New Roman" w:cs="Times New Roman"/>
        </w:rPr>
      </w:pPr>
      <w:r>
        <w:rPr>
          <w:rFonts w:ascii="Times New Roman" w:hAnsi="Times New Roman" w:cs="Times New Roman"/>
        </w:rPr>
        <w:t xml:space="preserve">In 2004, </w:t>
      </w:r>
      <w:r w:rsidR="00DC37AE">
        <w:rPr>
          <w:rFonts w:ascii="Times New Roman" w:hAnsi="Times New Roman" w:cs="Times New Roman"/>
        </w:rPr>
        <w:t xml:space="preserve">Congress enacted </w:t>
      </w:r>
      <w:r w:rsidR="00E23C2A">
        <w:rPr>
          <w:rFonts w:ascii="Times New Roman" w:hAnsi="Times New Roman" w:cs="Times New Roman"/>
        </w:rPr>
        <w:t xml:space="preserve">Code Sec. </w:t>
      </w:r>
      <w:r>
        <w:rPr>
          <w:rFonts w:ascii="Times New Roman" w:hAnsi="Times New Roman" w:cs="Times New Roman"/>
        </w:rPr>
        <w:t xml:space="preserve">362(e)(1), which provides that the basis of importation property will be its fair market value after the transaction if there would be an importation of a net built-in loss under </w:t>
      </w:r>
      <w:r w:rsidR="00E23C2A">
        <w:rPr>
          <w:rFonts w:ascii="Times New Roman" w:hAnsi="Times New Roman" w:cs="Times New Roman"/>
        </w:rPr>
        <w:t xml:space="preserve">Code Sec. </w:t>
      </w:r>
      <w:r>
        <w:rPr>
          <w:rFonts w:ascii="Times New Roman" w:hAnsi="Times New Roman" w:cs="Times New Roman"/>
        </w:rPr>
        <w:t>362(a) or (b)</w:t>
      </w:r>
      <w:r>
        <w:rPr>
          <w:rStyle w:val="FootnoteReference"/>
          <w:rFonts w:ascii="Times New Roman" w:hAnsi="Times New Roman" w:cs="Times New Roman"/>
        </w:rPr>
        <w:footnoteReference w:id="126"/>
      </w:r>
      <w:r>
        <w:rPr>
          <w:rFonts w:ascii="Times New Roman" w:hAnsi="Times New Roman" w:cs="Times New Roman"/>
        </w:rPr>
        <w:t xml:space="preserve"> in a </w:t>
      </w:r>
      <w:r w:rsidR="00E23C2A">
        <w:rPr>
          <w:rFonts w:ascii="Times New Roman" w:hAnsi="Times New Roman" w:cs="Times New Roman"/>
        </w:rPr>
        <w:t xml:space="preserve">Code Sec. </w:t>
      </w:r>
      <w:r>
        <w:rPr>
          <w:rFonts w:ascii="Times New Roman" w:hAnsi="Times New Roman" w:cs="Times New Roman"/>
        </w:rPr>
        <w:t>351 exchange or reorganization</w:t>
      </w:r>
      <w:r w:rsidR="00E23C2A">
        <w:rPr>
          <w:rFonts w:ascii="Times New Roman" w:hAnsi="Times New Roman" w:cs="Times New Roman"/>
        </w:rPr>
        <w:t xml:space="preserve"> under Code Sec. </w:t>
      </w:r>
      <w:r w:rsidR="00756F76">
        <w:rPr>
          <w:rFonts w:ascii="Times New Roman" w:hAnsi="Times New Roman" w:cs="Times New Roman"/>
        </w:rPr>
        <w:t>368</w:t>
      </w:r>
      <w:r>
        <w:rPr>
          <w:rFonts w:ascii="Times New Roman" w:hAnsi="Times New Roman" w:cs="Times New Roman"/>
        </w:rPr>
        <w:t>.</w:t>
      </w:r>
      <w:r w:rsidR="00A5108A">
        <w:rPr>
          <w:rFonts w:ascii="Times New Roman" w:hAnsi="Times New Roman" w:cs="Times New Roman"/>
        </w:rPr>
        <w:t xml:space="preserve"> </w:t>
      </w:r>
      <w:r w:rsidR="00AC5009">
        <w:rPr>
          <w:rFonts w:ascii="Times New Roman" w:hAnsi="Times New Roman" w:cs="Times New Roman"/>
        </w:rPr>
        <w:t>A similar</w:t>
      </w:r>
      <w:r w:rsidR="00AC5009" w:rsidRPr="00AC5009">
        <w:rPr>
          <w:rFonts w:ascii="Times New Roman" w:hAnsi="Times New Roman" w:cs="Times New Roman"/>
        </w:rPr>
        <w:t xml:space="preserve"> rule applies for transfers of importation property pursuant to a complete liquidation under Code Sec. 332.</w:t>
      </w:r>
      <w:r w:rsidR="00930DD2">
        <w:rPr>
          <w:rStyle w:val="FootnoteReference"/>
          <w:rFonts w:ascii="Times New Roman" w:hAnsi="Times New Roman" w:cs="Times New Roman"/>
        </w:rPr>
        <w:footnoteReference w:id="127"/>
      </w:r>
    </w:p>
    <w:p w14:paraId="092AEC5C" w14:textId="6C318407" w:rsidR="000F3801" w:rsidRDefault="00B8412C" w:rsidP="0096648D">
      <w:pPr>
        <w:widowControl w:val="0"/>
        <w:spacing w:after="240" w:line="240" w:lineRule="auto"/>
        <w:rPr>
          <w:rFonts w:ascii="Times New Roman" w:hAnsi="Times New Roman" w:cs="Times New Roman"/>
        </w:rPr>
      </w:pPr>
      <w:r>
        <w:rPr>
          <w:rFonts w:ascii="Times New Roman" w:hAnsi="Times New Roman" w:cs="Times New Roman"/>
        </w:rPr>
        <w:t xml:space="preserve">An importation of net built-in loss occurs </w:t>
      </w:r>
      <w:r w:rsidR="000F3801">
        <w:rPr>
          <w:rFonts w:ascii="Times New Roman" w:hAnsi="Times New Roman" w:cs="Times New Roman"/>
        </w:rPr>
        <w:t>if the aggregate basis of importation property exceeds the fair market value of such property.</w:t>
      </w:r>
      <w:r>
        <w:rPr>
          <w:rStyle w:val="FootnoteReference"/>
          <w:rFonts w:ascii="Times New Roman" w:hAnsi="Times New Roman" w:cs="Times New Roman"/>
        </w:rPr>
        <w:footnoteReference w:id="128"/>
      </w:r>
      <w:r w:rsidR="003D057E">
        <w:rPr>
          <w:rFonts w:ascii="Times New Roman" w:hAnsi="Times New Roman" w:cs="Times New Roman"/>
        </w:rPr>
        <w:t xml:space="preserve"> Importation property is </w:t>
      </w:r>
      <w:r w:rsidR="004F1F55">
        <w:rPr>
          <w:rFonts w:ascii="Times New Roman" w:hAnsi="Times New Roman" w:cs="Times New Roman"/>
        </w:rPr>
        <w:t xml:space="preserve">any property </w:t>
      </w:r>
      <w:r w:rsidR="00684FA0">
        <w:rPr>
          <w:rFonts w:ascii="Times New Roman" w:hAnsi="Times New Roman" w:cs="Times New Roman"/>
        </w:rPr>
        <w:t xml:space="preserve">with respect to which any gain or loss </w:t>
      </w:r>
      <w:r w:rsidR="00AB7040">
        <w:rPr>
          <w:rFonts w:ascii="Times New Roman" w:hAnsi="Times New Roman" w:cs="Times New Roman"/>
        </w:rPr>
        <w:t xml:space="preserve">that </w:t>
      </w:r>
      <w:r w:rsidR="00684FA0">
        <w:rPr>
          <w:rFonts w:ascii="Times New Roman" w:hAnsi="Times New Roman" w:cs="Times New Roman"/>
        </w:rPr>
        <w:t xml:space="preserve">would be recognized </w:t>
      </w:r>
      <w:r w:rsidR="00684BD5">
        <w:rPr>
          <w:rFonts w:ascii="Times New Roman" w:hAnsi="Times New Roman" w:cs="Times New Roman"/>
        </w:rPr>
        <w:t xml:space="preserve">on its </w:t>
      </w:r>
      <w:r w:rsidR="009660E8">
        <w:rPr>
          <w:rFonts w:ascii="Times New Roman" w:hAnsi="Times New Roman" w:cs="Times New Roman"/>
        </w:rPr>
        <w:t xml:space="preserve">(hypothetical) </w:t>
      </w:r>
      <w:r w:rsidR="00684BD5">
        <w:rPr>
          <w:rFonts w:ascii="Times New Roman" w:hAnsi="Times New Roman" w:cs="Times New Roman"/>
        </w:rPr>
        <w:t>sale by the transferor immediately before the tran</w:t>
      </w:r>
      <w:r w:rsidR="000204CE">
        <w:rPr>
          <w:rFonts w:ascii="Times New Roman" w:hAnsi="Times New Roman" w:cs="Times New Roman"/>
        </w:rPr>
        <w:t>sfer</w:t>
      </w:r>
      <w:r w:rsidR="00580D97">
        <w:rPr>
          <w:rFonts w:ascii="Times New Roman" w:hAnsi="Times New Roman" w:cs="Times New Roman"/>
        </w:rPr>
        <w:t xml:space="preserve"> would</w:t>
      </w:r>
      <w:r w:rsidR="00AB7040">
        <w:rPr>
          <w:rFonts w:ascii="Times New Roman" w:hAnsi="Times New Roman" w:cs="Times New Roman"/>
        </w:rPr>
        <w:t xml:space="preserve"> that</w:t>
      </w:r>
      <w:r w:rsidR="00580D97">
        <w:rPr>
          <w:rFonts w:ascii="Times New Roman" w:hAnsi="Times New Roman" w:cs="Times New Roman"/>
        </w:rPr>
        <w:t xml:space="preserve"> not be </w:t>
      </w:r>
      <w:r w:rsidR="00DC6283">
        <w:rPr>
          <w:rFonts w:ascii="Times New Roman" w:hAnsi="Times New Roman" w:cs="Times New Roman"/>
        </w:rPr>
        <w:t>subject to U</w:t>
      </w:r>
      <w:r w:rsidR="00044551">
        <w:rPr>
          <w:rFonts w:ascii="Times New Roman" w:hAnsi="Times New Roman" w:cs="Times New Roman"/>
        </w:rPr>
        <w:t>.</w:t>
      </w:r>
      <w:r w:rsidR="00DC6283">
        <w:rPr>
          <w:rFonts w:ascii="Times New Roman" w:hAnsi="Times New Roman" w:cs="Times New Roman"/>
        </w:rPr>
        <w:t>S</w:t>
      </w:r>
      <w:r w:rsidR="00044551">
        <w:rPr>
          <w:rFonts w:ascii="Times New Roman" w:hAnsi="Times New Roman" w:cs="Times New Roman"/>
        </w:rPr>
        <w:t>.</w:t>
      </w:r>
      <w:r w:rsidR="00DC6283">
        <w:rPr>
          <w:rFonts w:ascii="Times New Roman" w:hAnsi="Times New Roman" w:cs="Times New Roman"/>
        </w:rPr>
        <w:t xml:space="preserve"> tax</w:t>
      </w:r>
      <w:r w:rsidR="000204CE">
        <w:rPr>
          <w:rFonts w:ascii="Times New Roman" w:hAnsi="Times New Roman" w:cs="Times New Roman"/>
        </w:rPr>
        <w:t xml:space="preserve">, and </w:t>
      </w:r>
      <w:r w:rsidR="00AB3A6F">
        <w:rPr>
          <w:rFonts w:ascii="Times New Roman" w:hAnsi="Times New Roman" w:cs="Times New Roman"/>
        </w:rPr>
        <w:t>gain or loss that would be recognized</w:t>
      </w:r>
      <w:r w:rsidR="00C70489">
        <w:rPr>
          <w:rFonts w:ascii="Times New Roman" w:hAnsi="Times New Roman" w:cs="Times New Roman"/>
        </w:rPr>
        <w:t xml:space="preserve"> on its (</w:t>
      </w:r>
      <w:r w:rsidR="00B33089">
        <w:rPr>
          <w:rFonts w:ascii="Times New Roman" w:hAnsi="Times New Roman" w:cs="Times New Roman"/>
        </w:rPr>
        <w:t xml:space="preserve">hypothetical) sale </w:t>
      </w:r>
      <w:r w:rsidR="00DE40E6">
        <w:rPr>
          <w:rFonts w:ascii="Times New Roman" w:hAnsi="Times New Roman" w:cs="Times New Roman"/>
        </w:rPr>
        <w:t xml:space="preserve">by the </w:t>
      </w:r>
      <w:r w:rsidR="000F543B">
        <w:rPr>
          <w:rFonts w:ascii="Times New Roman" w:hAnsi="Times New Roman" w:cs="Times New Roman"/>
        </w:rPr>
        <w:t xml:space="preserve">transferee </w:t>
      </w:r>
      <w:r w:rsidR="00FD71E3">
        <w:rPr>
          <w:rFonts w:ascii="Times New Roman" w:hAnsi="Times New Roman" w:cs="Times New Roman"/>
        </w:rPr>
        <w:t>immediately after the transfer would be subject to</w:t>
      </w:r>
      <w:r w:rsidR="00684BD5">
        <w:rPr>
          <w:rFonts w:ascii="Times New Roman" w:hAnsi="Times New Roman" w:cs="Times New Roman"/>
        </w:rPr>
        <w:t xml:space="preserve"> </w:t>
      </w:r>
      <w:r w:rsidR="00F846AC">
        <w:rPr>
          <w:rFonts w:ascii="Times New Roman" w:hAnsi="Times New Roman" w:cs="Times New Roman"/>
        </w:rPr>
        <w:t>U</w:t>
      </w:r>
      <w:r w:rsidR="00044551">
        <w:rPr>
          <w:rFonts w:ascii="Times New Roman" w:hAnsi="Times New Roman" w:cs="Times New Roman"/>
        </w:rPr>
        <w:t>.</w:t>
      </w:r>
      <w:r w:rsidR="00F846AC">
        <w:rPr>
          <w:rFonts w:ascii="Times New Roman" w:hAnsi="Times New Roman" w:cs="Times New Roman"/>
        </w:rPr>
        <w:t>S</w:t>
      </w:r>
      <w:r w:rsidR="00044551">
        <w:rPr>
          <w:rFonts w:ascii="Times New Roman" w:hAnsi="Times New Roman" w:cs="Times New Roman"/>
        </w:rPr>
        <w:t>.</w:t>
      </w:r>
      <w:r w:rsidR="00F846AC">
        <w:rPr>
          <w:rFonts w:ascii="Times New Roman" w:hAnsi="Times New Roman" w:cs="Times New Roman"/>
        </w:rPr>
        <w:t xml:space="preserve"> tax.</w:t>
      </w:r>
      <w:r w:rsidR="009F77BC">
        <w:rPr>
          <w:rStyle w:val="FootnoteReference"/>
          <w:rFonts w:ascii="Times New Roman" w:hAnsi="Times New Roman" w:cs="Times New Roman"/>
        </w:rPr>
        <w:footnoteReference w:id="129"/>
      </w:r>
      <w:r w:rsidR="00F846AC">
        <w:rPr>
          <w:rFonts w:ascii="Times New Roman" w:hAnsi="Times New Roman" w:cs="Times New Roman"/>
        </w:rPr>
        <w:t xml:space="preserve"> </w:t>
      </w:r>
      <w:r w:rsidR="00C47B56">
        <w:rPr>
          <w:rFonts w:ascii="Times New Roman" w:hAnsi="Times New Roman" w:cs="Times New Roman"/>
        </w:rPr>
        <w:t xml:space="preserve">Property transferred by a CFC </w:t>
      </w:r>
      <w:r w:rsidR="00031F1E">
        <w:rPr>
          <w:rFonts w:ascii="Times New Roman" w:hAnsi="Times New Roman" w:cs="Times New Roman"/>
        </w:rPr>
        <w:t>in a nonrecognition transaction may be importation property</w:t>
      </w:r>
      <w:r w:rsidR="00C71215">
        <w:rPr>
          <w:rFonts w:ascii="Times New Roman" w:hAnsi="Times New Roman" w:cs="Times New Roman"/>
        </w:rPr>
        <w:t>, notwithstanding that gain or loss from a hypothetical sale by the CFC would be taken into account in determining a U</w:t>
      </w:r>
      <w:r w:rsidR="00044551">
        <w:rPr>
          <w:rFonts w:ascii="Times New Roman" w:hAnsi="Times New Roman" w:cs="Times New Roman"/>
        </w:rPr>
        <w:t>.</w:t>
      </w:r>
      <w:r w:rsidR="00C71215">
        <w:rPr>
          <w:rFonts w:ascii="Times New Roman" w:hAnsi="Times New Roman" w:cs="Times New Roman"/>
        </w:rPr>
        <w:t>S</w:t>
      </w:r>
      <w:r w:rsidR="00044551">
        <w:rPr>
          <w:rFonts w:ascii="Times New Roman" w:hAnsi="Times New Roman" w:cs="Times New Roman"/>
        </w:rPr>
        <w:t>.</w:t>
      </w:r>
      <w:r w:rsidR="00C71215">
        <w:rPr>
          <w:rFonts w:ascii="Times New Roman" w:hAnsi="Times New Roman" w:cs="Times New Roman"/>
        </w:rPr>
        <w:t xml:space="preserve"> shareholder’s subpart F </w:t>
      </w:r>
      <w:r w:rsidR="00756F76">
        <w:rPr>
          <w:rFonts w:ascii="Times New Roman" w:hAnsi="Times New Roman" w:cs="Times New Roman"/>
        </w:rPr>
        <w:t xml:space="preserve">income </w:t>
      </w:r>
      <w:r w:rsidR="00C71215">
        <w:rPr>
          <w:rFonts w:ascii="Times New Roman" w:hAnsi="Times New Roman" w:cs="Times New Roman"/>
        </w:rPr>
        <w:t>or GILTI inclusion.</w:t>
      </w:r>
    </w:p>
    <w:p w14:paraId="7462BDD0" w14:textId="6ACB4B38" w:rsidR="000154A0" w:rsidRPr="00504680" w:rsidRDefault="00762713" w:rsidP="005E68EE">
      <w:pPr>
        <w:pStyle w:val="Heading4"/>
        <w:widowControl w:val="0"/>
        <w:contextualSpacing w:val="0"/>
      </w:pPr>
      <w:r>
        <w:t xml:space="preserve">Everything about </w:t>
      </w:r>
      <w:r w:rsidR="00CF2795">
        <w:t>TCJA</w:t>
      </w:r>
    </w:p>
    <w:p w14:paraId="4C30B054" w14:textId="7B5BB7A9" w:rsidR="00096DD0" w:rsidRPr="00096DD0" w:rsidRDefault="00815E3E" w:rsidP="0096648D">
      <w:pPr>
        <w:pStyle w:val="Heading5"/>
        <w:numPr>
          <w:ilvl w:val="0"/>
          <w:numId w:val="60"/>
        </w:numPr>
      </w:pPr>
      <w:r>
        <w:t>Overview</w:t>
      </w:r>
    </w:p>
    <w:p w14:paraId="4EBA3E25" w14:textId="5CFFDA89" w:rsidR="000F3801" w:rsidRPr="009E47E1" w:rsidRDefault="00334405" w:rsidP="0096648D">
      <w:pPr>
        <w:widowControl w:val="0"/>
        <w:spacing w:after="240" w:line="240" w:lineRule="auto"/>
        <w:rPr>
          <w:rFonts w:ascii="Times New Roman" w:hAnsi="Times New Roman" w:cs="Times New Roman"/>
        </w:rPr>
      </w:pPr>
      <w:r>
        <w:rPr>
          <w:rFonts w:ascii="Times New Roman" w:hAnsi="Times New Roman" w:cs="Times New Roman"/>
        </w:rPr>
        <w:t>O</w:t>
      </w:r>
      <w:r w:rsidR="000F3801">
        <w:rPr>
          <w:rFonts w:ascii="Times New Roman" w:hAnsi="Times New Roman" w:cs="Times New Roman"/>
        </w:rPr>
        <w:t xml:space="preserve">n December 22, 2017, </w:t>
      </w:r>
      <w:r w:rsidR="00A8517E">
        <w:rPr>
          <w:rFonts w:ascii="Times New Roman" w:hAnsi="Times New Roman" w:cs="Times New Roman"/>
        </w:rPr>
        <w:t xml:space="preserve">Congress passed the </w:t>
      </w:r>
      <w:r w:rsidR="00BA0E3C">
        <w:rPr>
          <w:rFonts w:ascii="Times New Roman" w:hAnsi="Times New Roman" w:cs="Times New Roman"/>
        </w:rPr>
        <w:t>TCJA</w:t>
      </w:r>
      <w:r w:rsidR="00A8517E">
        <w:rPr>
          <w:rFonts w:ascii="Times New Roman" w:hAnsi="Times New Roman" w:cs="Times New Roman"/>
        </w:rPr>
        <w:t xml:space="preserve">, which dramatically </w:t>
      </w:r>
      <w:r w:rsidR="000F3801" w:rsidRPr="009E47E1">
        <w:rPr>
          <w:rFonts w:ascii="Times New Roman" w:hAnsi="Times New Roman" w:cs="Times New Roman"/>
        </w:rPr>
        <w:t>changed the U.S. system of international taxation</w:t>
      </w:r>
      <w:r w:rsidR="00A8517E">
        <w:rPr>
          <w:rFonts w:ascii="Times New Roman" w:hAnsi="Times New Roman" w:cs="Times New Roman"/>
        </w:rPr>
        <w:t xml:space="preserve">. </w:t>
      </w:r>
      <w:r w:rsidR="00363C56">
        <w:rPr>
          <w:rFonts w:ascii="Times New Roman" w:hAnsi="Times New Roman" w:cs="Times New Roman"/>
        </w:rPr>
        <w:t>According to the</w:t>
      </w:r>
      <w:r w:rsidR="00A8517E">
        <w:rPr>
          <w:rFonts w:ascii="Times New Roman" w:hAnsi="Times New Roman" w:cs="Times New Roman"/>
        </w:rPr>
        <w:t xml:space="preserve"> legislative history</w:t>
      </w:r>
      <w:r w:rsidR="00363C56">
        <w:rPr>
          <w:rFonts w:ascii="Times New Roman" w:hAnsi="Times New Roman" w:cs="Times New Roman"/>
        </w:rPr>
        <w:t xml:space="preserve">, Congress intended to move the international tax system </w:t>
      </w:r>
      <w:r w:rsidR="000F3801" w:rsidRPr="009E47E1">
        <w:rPr>
          <w:rFonts w:ascii="Times New Roman" w:hAnsi="Times New Roman" w:cs="Times New Roman"/>
        </w:rPr>
        <w:t>away from a worldwide system of taxation</w:t>
      </w:r>
      <w:r w:rsidR="00363C56">
        <w:rPr>
          <w:rFonts w:ascii="Times New Roman" w:hAnsi="Times New Roman" w:cs="Times New Roman"/>
        </w:rPr>
        <w:t xml:space="preserve"> with deferral</w:t>
      </w:r>
      <w:r w:rsidR="000F3801" w:rsidRPr="009E47E1">
        <w:rPr>
          <w:rFonts w:ascii="Times New Roman" w:hAnsi="Times New Roman" w:cs="Times New Roman"/>
        </w:rPr>
        <w:t xml:space="preserve"> towards a territorial system of taxation</w:t>
      </w:r>
      <w:r w:rsidR="00363C56">
        <w:rPr>
          <w:rFonts w:ascii="Times New Roman" w:hAnsi="Times New Roman" w:cs="Times New Roman"/>
        </w:rPr>
        <w:t xml:space="preserve"> with “appropriate safeguards”:</w:t>
      </w:r>
    </w:p>
    <w:p w14:paraId="59EEE3AD" w14:textId="23FFDDED" w:rsidR="000F3801" w:rsidRPr="009E47E1" w:rsidRDefault="000F3801" w:rsidP="0096648D">
      <w:pPr>
        <w:widowControl w:val="0"/>
        <w:spacing w:after="240" w:line="240" w:lineRule="auto"/>
        <w:ind w:left="720" w:right="720"/>
        <w:jc w:val="both"/>
        <w:rPr>
          <w:rFonts w:ascii="Times New Roman" w:hAnsi="Times New Roman" w:cs="Times New Roman"/>
        </w:rPr>
      </w:pPr>
      <w:r w:rsidRPr="009E47E1">
        <w:rPr>
          <w:rFonts w:ascii="Times New Roman" w:hAnsi="Times New Roman" w:cs="Times New Roman"/>
        </w:rPr>
        <w:t xml:space="preserve">The Committee believes that the current tax system puts American workers and companies at a severe disadvantage to foreign workers and companies. This is primarily because the United States is one of the few industrialized countries with a worldwide system of taxation and has the highest corporate tax rate among </w:t>
      </w:r>
      <w:r w:rsidR="00D6395D">
        <w:rPr>
          <w:rFonts w:ascii="Times New Roman" w:hAnsi="Times New Roman" w:cs="Times New Roman"/>
        </w:rPr>
        <w:t>OECD</w:t>
      </w:r>
      <w:r w:rsidRPr="009E47E1">
        <w:rPr>
          <w:rFonts w:ascii="Times New Roman" w:hAnsi="Times New Roman" w:cs="Times New Roman"/>
        </w:rPr>
        <w:t xml:space="preserve"> member countries. The </w:t>
      </w:r>
      <w:bookmarkStart w:id="12" w:name="OLE_LINK27"/>
      <w:r w:rsidRPr="009E47E1">
        <w:rPr>
          <w:rFonts w:ascii="Times New Roman" w:hAnsi="Times New Roman" w:cs="Times New Roman"/>
        </w:rPr>
        <w:t xml:space="preserve">worldwide system of taxation with deferral </w:t>
      </w:r>
      <w:bookmarkEnd w:id="12"/>
      <w:r w:rsidRPr="009E47E1">
        <w:rPr>
          <w:rFonts w:ascii="Times New Roman" w:hAnsi="Times New Roman" w:cs="Times New Roman"/>
        </w:rPr>
        <w:t xml:space="preserve">provides perverse incentives to keep funds offshore because dividends from foreign subsidiaries are not taxed until repatriated to the United States. The Committee believes that a territorial system with appropriate anti-base erosion safeguards, combined with a lower corporate tax rate, will make American workers and companies competitive again, and also will remove tax-driven incentives to keep funds </w:t>
      </w:r>
      <w:r w:rsidRPr="009E47E1">
        <w:rPr>
          <w:rFonts w:ascii="Times New Roman" w:hAnsi="Times New Roman" w:cs="Times New Roman"/>
        </w:rPr>
        <w:lastRenderedPageBreak/>
        <w:t>offshore.</w:t>
      </w:r>
      <w:r w:rsidRPr="009E47E1">
        <w:rPr>
          <w:rStyle w:val="FootnoteReference"/>
          <w:rFonts w:ascii="Times New Roman" w:hAnsi="Times New Roman" w:cs="Times New Roman"/>
        </w:rPr>
        <w:footnoteReference w:id="130"/>
      </w:r>
    </w:p>
    <w:p w14:paraId="4C57AB94" w14:textId="45586C4E" w:rsidR="00213BBB" w:rsidRDefault="00363C56" w:rsidP="0096648D">
      <w:pPr>
        <w:widowControl w:val="0"/>
        <w:spacing w:after="240" w:line="240" w:lineRule="auto"/>
        <w:rPr>
          <w:rFonts w:ascii="Times New Roman" w:hAnsi="Times New Roman" w:cs="Times New Roman"/>
        </w:rPr>
      </w:pPr>
      <w:r>
        <w:rPr>
          <w:rFonts w:ascii="Times New Roman" w:hAnsi="Times New Roman" w:cs="Times New Roman"/>
        </w:rPr>
        <w:t>In reality,</w:t>
      </w:r>
      <w:r w:rsidR="00036269">
        <w:rPr>
          <w:rFonts w:ascii="Times New Roman" w:hAnsi="Times New Roman" w:cs="Times New Roman"/>
        </w:rPr>
        <w:t xml:space="preserve"> </w:t>
      </w:r>
      <w:r w:rsidR="002D3DB7">
        <w:rPr>
          <w:rFonts w:ascii="Times New Roman" w:hAnsi="Times New Roman" w:cs="Times New Roman"/>
        </w:rPr>
        <w:t>the</w:t>
      </w:r>
      <w:r w:rsidR="0027071F">
        <w:rPr>
          <w:rFonts w:ascii="Times New Roman" w:hAnsi="Times New Roman" w:cs="Times New Roman"/>
        </w:rPr>
        <w:t xml:space="preserve"> TCJA did not create a territorial system with safeguard</w:t>
      </w:r>
      <w:r w:rsidR="00B14495">
        <w:rPr>
          <w:rFonts w:ascii="Times New Roman" w:hAnsi="Times New Roman" w:cs="Times New Roman"/>
        </w:rPr>
        <w:t xml:space="preserve">s. In fact, the TCJA did not create a single </w:t>
      </w:r>
      <w:r w:rsidR="00242F7E">
        <w:rPr>
          <w:rFonts w:ascii="Times New Roman" w:hAnsi="Times New Roman" w:cs="Times New Roman"/>
        </w:rPr>
        <w:t>international</w:t>
      </w:r>
      <w:r w:rsidR="00B14495">
        <w:rPr>
          <w:rFonts w:ascii="Times New Roman" w:hAnsi="Times New Roman" w:cs="Times New Roman"/>
        </w:rPr>
        <w:t xml:space="preserve"> tax system</w:t>
      </w:r>
      <w:r w:rsidR="00242F7E">
        <w:rPr>
          <w:rFonts w:ascii="Times New Roman" w:hAnsi="Times New Roman" w:cs="Times New Roman"/>
        </w:rPr>
        <w:t xml:space="preserve">, it created four </w:t>
      </w:r>
      <w:r w:rsidR="004D627C">
        <w:rPr>
          <w:rFonts w:ascii="Times New Roman" w:hAnsi="Times New Roman" w:cs="Times New Roman"/>
        </w:rPr>
        <w:t>distinct systems that apply to</w:t>
      </w:r>
      <w:r w:rsidR="00242F7E">
        <w:rPr>
          <w:rFonts w:ascii="Times New Roman" w:hAnsi="Times New Roman" w:cs="Times New Roman"/>
        </w:rPr>
        <w:t xml:space="preserve"> </w:t>
      </w:r>
      <w:r w:rsidR="00684BBF">
        <w:rPr>
          <w:rFonts w:ascii="Times New Roman" w:hAnsi="Times New Roman" w:cs="Times New Roman"/>
        </w:rPr>
        <w:t>U.S. shareholders</w:t>
      </w:r>
      <w:r w:rsidR="00213BBB">
        <w:rPr>
          <w:rFonts w:ascii="Times New Roman" w:hAnsi="Times New Roman" w:cs="Times New Roman"/>
        </w:rPr>
        <w:t xml:space="preserve"> of foreign corporations</w:t>
      </w:r>
      <w:r w:rsidR="00E156F2">
        <w:rPr>
          <w:rFonts w:ascii="Times New Roman" w:hAnsi="Times New Roman" w:cs="Times New Roman"/>
        </w:rPr>
        <w:t>, depending on the identity of the U.S. shareholder and the level of U.S. ownership with respect to the foreign corporation</w:t>
      </w:r>
      <w:r w:rsidR="002D3DB7">
        <w:rPr>
          <w:rFonts w:ascii="Times New Roman" w:hAnsi="Times New Roman" w:cs="Times New Roman"/>
        </w:rPr>
        <w:t xml:space="preserve">– </w:t>
      </w:r>
    </w:p>
    <w:p w14:paraId="3FD6FD50" w14:textId="66EFEF04" w:rsidR="00213BBB" w:rsidRDefault="002D3DB7" w:rsidP="0096648D">
      <w:pPr>
        <w:widowControl w:val="0"/>
        <w:spacing w:after="240" w:line="240" w:lineRule="auto"/>
        <w:ind w:left="720" w:right="720"/>
        <w:rPr>
          <w:rFonts w:ascii="Times New Roman" w:hAnsi="Times New Roman" w:cs="Times New Roman"/>
        </w:rPr>
      </w:pPr>
      <w:r>
        <w:rPr>
          <w:rFonts w:ascii="Times New Roman" w:hAnsi="Times New Roman" w:cs="Times New Roman"/>
        </w:rPr>
        <w:t xml:space="preserve">(1) </w:t>
      </w:r>
      <w:r w:rsidR="00036269">
        <w:rPr>
          <w:rFonts w:ascii="Times New Roman" w:hAnsi="Times New Roman" w:cs="Times New Roman"/>
        </w:rPr>
        <w:t>a hybrid worldwide</w:t>
      </w:r>
      <w:r>
        <w:rPr>
          <w:rFonts w:ascii="Times New Roman" w:hAnsi="Times New Roman" w:cs="Times New Roman"/>
        </w:rPr>
        <w:t>/</w:t>
      </w:r>
      <w:r w:rsidR="00036269">
        <w:rPr>
          <w:rFonts w:ascii="Times New Roman" w:hAnsi="Times New Roman" w:cs="Times New Roman"/>
        </w:rPr>
        <w:t xml:space="preserve">territorial system for </w:t>
      </w:r>
      <w:r w:rsidR="001C19B6">
        <w:rPr>
          <w:rFonts w:ascii="Times New Roman" w:hAnsi="Times New Roman" w:cs="Times New Roman"/>
        </w:rPr>
        <w:t>corporate U.S.</w:t>
      </w:r>
      <w:r w:rsidR="00003A88">
        <w:rPr>
          <w:rFonts w:ascii="Times New Roman" w:hAnsi="Times New Roman" w:cs="Times New Roman"/>
        </w:rPr>
        <w:t xml:space="preserve"> shareholders </w:t>
      </w:r>
      <w:r w:rsidR="00684BBF">
        <w:rPr>
          <w:rFonts w:ascii="Times New Roman" w:hAnsi="Times New Roman" w:cs="Times New Roman"/>
        </w:rPr>
        <w:t>of</w:t>
      </w:r>
      <w:r w:rsidR="00003A88">
        <w:rPr>
          <w:rFonts w:ascii="Times New Roman" w:hAnsi="Times New Roman" w:cs="Times New Roman"/>
        </w:rPr>
        <w:t xml:space="preserve"> CFCs</w:t>
      </w:r>
      <w:r w:rsidR="00B326E2">
        <w:rPr>
          <w:rFonts w:ascii="Times New Roman" w:hAnsi="Times New Roman" w:cs="Times New Roman"/>
        </w:rPr>
        <w:t xml:space="preserve">: </w:t>
      </w:r>
      <w:r w:rsidR="008C56BD">
        <w:rPr>
          <w:rFonts w:ascii="Times New Roman" w:hAnsi="Times New Roman" w:cs="Times New Roman"/>
        </w:rPr>
        <w:t xml:space="preserve">a </w:t>
      </w:r>
      <w:r w:rsidR="001C19B6">
        <w:rPr>
          <w:rFonts w:ascii="Times New Roman" w:hAnsi="Times New Roman" w:cs="Times New Roman"/>
        </w:rPr>
        <w:t xml:space="preserve">corporate U.S. shareholder </w:t>
      </w:r>
      <w:r w:rsidR="008C56BD">
        <w:rPr>
          <w:rFonts w:ascii="Times New Roman" w:hAnsi="Times New Roman" w:cs="Times New Roman"/>
        </w:rPr>
        <w:t>is</w:t>
      </w:r>
      <w:r w:rsidR="001C19B6">
        <w:rPr>
          <w:rFonts w:ascii="Times New Roman" w:hAnsi="Times New Roman" w:cs="Times New Roman"/>
        </w:rPr>
        <w:t xml:space="preserve"> taxed immediately on most of </w:t>
      </w:r>
      <w:r w:rsidR="008C56BD">
        <w:rPr>
          <w:rFonts w:ascii="Times New Roman" w:hAnsi="Times New Roman" w:cs="Times New Roman"/>
        </w:rPr>
        <w:t>its</w:t>
      </w:r>
      <w:r w:rsidR="001C19B6">
        <w:rPr>
          <w:rFonts w:ascii="Times New Roman" w:hAnsi="Times New Roman" w:cs="Times New Roman"/>
        </w:rPr>
        <w:t xml:space="preserve"> CFCs income under GILTI or subpart F, but then any </w:t>
      </w:r>
      <w:r w:rsidR="00E34D47">
        <w:rPr>
          <w:rFonts w:ascii="Times New Roman" w:hAnsi="Times New Roman" w:cs="Times New Roman"/>
        </w:rPr>
        <w:t xml:space="preserve">untaxed </w:t>
      </w:r>
      <w:r w:rsidR="001C19B6">
        <w:rPr>
          <w:rFonts w:ascii="Times New Roman" w:hAnsi="Times New Roman" w:cs="Times New Roman"/>
        </w:rPr>
        <w:t xml:space="preserve">E&amp;P of the CFCs </w:t>
      </w:r>
      <w:r w:rsidR="00E34D47">
        <w:rPr>
          <w:rFonts w:ascii="Times New Roman" w:hAnsi="Times New Roman" w:cs="Times New Roman"/>
        </w:rPr>
        <w:t>may</w:t>
      </w:r>
      <w:r w:rsidR="001C19B6">
        <w:rPr>
          <w:rFonts w:ascii="Times New Roman" w:hAnsi="Times New Roman" w:cs="Times New Roman"/>
        </w:rPr>
        <w:t xml:space="preserve"> be repatriated tax-free</w:t>
      </w:r>
      <w:r w:rsidR="00B326E2">
        <w:rPr>
          <w:rFonts w:ascii="Times New Roman" w:hAnsi="Times New Roman" w:cs="Times New Roman"/>
        </w:rPr>
        <w:t xml:space="preserve"> under Code Sec. 245A</w:t>
      </w:r>
      <w:r w:rsidR="00213BBB">
        <w:rPr>
          <w:rFonts w:ascii="Times New Roman" w:hAnsi="Times New Roman" w:cs="Times New Roman"/>
        </w:rPr>
        <w:t>;</w:t>
      </w:r>
    </w:p>
    <w:p w14:paraId="790C02AA" w14:textId="1DB15AAD" w:rsidR="00C63005" w:rsidRDefault="00684BBF" w:rsidP="0096648D">
      <w:pPr>
        <w:widowControl w:val="0"/>
        <w:spacing w:after="240" w:line="240" w:lineRule="auto"/>
        <w:ind w:left="720" w:right="720"/>
        <w:rPr>
          <w:rFonts w:ascii="Times New Roman" w:hAnsi="Times New Roman" w:cs="Times New Roman"/>
        </w:rPr>
      </w:pPr>
      <w:r>
        <w:rPr>
          <w:rFonts w:ascii="Times New Roman" w:hAnsi="Times New Roman" w:cs="Times New Roman"/>
        </w:rPr>
        <w:t>(2)</w:t>
      </w:r>
      <w:r w:rsidR="00003A88">
        <w:rPr>
          <w:rFonts w:ascii="Times New Roman" w:hAnsi="Times New Roman" w:cs="Times New Roman"/>
        </w:rPr>
        <w:t xml:space="preserve"> a hybrid worldwide/deferral system for</w:t>
      </w:r>
      <w:r w:rsidR="002D3DB7">
        <w:rPr>
          <w:rFonts w:ascii="Times New Roman" w:hAnsi="Times New Roman" w:cs="Times New Roman"/>
        </w:rPr>
        <w:t xml:space="preserve"> individual U.S. shareholders</w:t>
      </w:r>
      <w:r>
        <w:rPr>
          <w:rFonts w:ascii="Times New Roman" w:hAnsi="Times New Roman" w:cs="Times New Roman"/>
        </w:rPr>
        <w:t xml:space="preserve"> of CFCs</w:t>
      </w:r>
      <w:r w:rsidR="00B326E2">
        <w:rPr>
          <w:rFonts w:ascii="Times New Roman" w:hAnsi="Times New Roman" w:cs="Times New Roman"/>
        </w:rPr>
        <w:t xml:space="preserve">: </w:t>
      </w:r>
      <w:r w:rsidR="00C63005">
        <w:rPr>
          <w:rFonts w:ascii="Times New Roman" w:hAnsi="Times New Roman" w:cs="Times New Roman"/>
        </w:rPr>
        <w:t>a</w:t>
      </w:r>
      <w:r w:rsidR="00B326E2">
        <w:rPr>
          <w:rFonts w:ascii="Times New Roman" w:hAnsi="Times New Roman" w:cs="Times New Roman"/>
        </w:rPr>
        <w:t>n</w:t>
      </w:r>
      <w:r w:rsidR="00C63005">
        <w:rPr>
          <w:rFonts w:ascii="Times New Roman" w:hAnsi="Times New Roman" w:cs="Times New Roman"/>
        </w:rPr>
        <w:t xml:space="preserve"> individual U.S. shareholder is taxed immediately on most of its CFCs income under GILTI or subpart F, and any </w:t>
      </w:r>
      <w:r w:rsidR="00E34D47">
        <w:rPr>
          <w:rFonts w:ascii="Times New Roman" w:hAnsi="Times New Roman" w:cs="Times New Roman"/>
        </w:rPr>
        <w:t xml:space="preserve">untaxed </w:t>
      </w:r>
      <w:r w:rsidR="00C63005">
        <w:rPr>
          <w:rFonts w:ascii="Times New Roman" w:hAnsi="Times New Roman" w:cs="Times New Roman"/>
        </w:rPr>
        <w:t xml:space="preserve">E&amp;P of the CFCs </w:t>
      </w:r>
      <w:r w:rsidR="00E34D47">
        <w:rPr>
          <w:rFonts w:ascii="Times New Roman" w:hAnsi="Times New Roman" w:cs="Times New Roman"/>
        </w:rPr>
        <w:t>are taxed upon repatriation;</w:t>
      </w:r>
    </w:p>
    <w:p w14:paraId="1D3BF4E5" w14:textId="4299615E" w:rsidR="00192FAA" w:rsidRDefault="00684BBF" w:rsidP="0096648D">
      <w:pPr>
        <w:widowControl w:val="0"/>
        <w:spacing w:after="240" w:line="240" w:lineRule="auto"/>
        <w:ind w:left="720" w:right="720"/>
        <w:rPr>
          <w:rFonts w:ascii="Times New Roman" w:hAnsi="Times New Roman" w:cs="Times New Roman"/>
        </w:rPr>
      </w:pPr>
      <w:r>
        <w:rPr>
          <w:rFonts w:ascii="Times New Roman" w:hAnsi="Times New Roman" w:cs="Times New Roman"/>
        </w:rPr>
        <w:t>(3) a</w:t>
      </w:r>
      <w:r w:rsidR="00213BBB">
        <w:rPr>
          <w:rFonts w:ascii="Times New Roman" w:hAnsi="Times New Roman" w:cs="Times New Roman"/>
        </w:rPr>
        <w:t xml:space="preserve"> </w:t>
      </w:r>
      <w:r w:rsidR="00685812">
        <w:rPr>
          <w:rFonts w:ascii="Times New Roman" w:hAnsi="Times New Roman" w:cs="Times New Roman"/>
        </w:rPr>
        <w:t xml:space="preserve">territorial system for </w:t>
      </w:r>
      <w:r w:rsidR="00920F8B">
        <w:rPr>
          <w:rFonts w:ascii="Times New Roman" w:hAnsi="Times New Roman" w:cs="Times New Roman"/>
        </w:rPr>
        <w:t>corporate U.S.</w:t>
      </w:r>
      <w:r w:rsidR="00685812">
        <w:rPr>
          <w:rFonts w:ascii="Times New Roman" w:hAnsi="Times New Roman" w:cs="Times New Roman"/>
        </w:rPr>
        <w:t xml:space="preserve"> shareholders of </w:t>
      </w:r>
      <w:r w:rsidR="00B326E2">
        <w:rPr>
          <w:rFonts w:ascii="Times New Roman" w:hAnsi="Times New Roman" w:cs="Times New Roman"/>
        </w:rPr>
        <w:t xml:space="preserve">10/50 companies: </w:t>
      </w:r>
      <w:r w:rsidR="00192FAA">
        <w:rPr>
          <w:rFonts w:ascii="Times New Roman" w:hAnsi="Times New Roman" w:cs="Times New Roman"/>
        </w:rPr>
        <w:t xml:space="preserve">a corporate U.S. shareholder of a 10/50 company is not taxed immediately on any </w:t>
      </w:r>
      <w:r w:rsidR="001D26A9">
        <w:rPr>
          <w:rFonts w:ascii="Times New Roman" w:hAnsi="Times New Roman" w:cs="Times New Roman"/>
        </w:rPr>
        <w:t>income of such compan</w:t>
      </w:r>
      <w:r w:rsidR="00B326E2">
        <w:rPr>
          <w:rFonts w:ascii="Times New Roman" w:hAnsi="Times New Roman" w:cs="Times New Roman"/>
        </w:rPr>
        <w:t>y</w:t>
      </w:r>
      <w:r w:rsidR="001D26A9">
        <w:rPr>
          <w:rFonts w:ascii="Times New Roman" w:hAnsi="Times New Roman" w:cs="Times New Roman"/>
        </w:rPr>
        <w:t xml:space="preserve">, and </w:t>
      </w:r>
      <w:r w:rsidR="00071B0F">
        <w:rPr>
          <w:rFonts w:ascii="Times New Roman" w:hAnsi="Times New Roman" w:cs="Times New Roman"/>
        </w:rPr>
        <w:t>then all the untaxed E&amp;P of the companies may be repatriated tax-free</w:t>
      </w:r>
      <w:r w:rsidR="00B326E2">
        <w:rPr>
          <w:rFonts w:ascii="Times New Roman" w:hAnsi="Times New Roman" w:cs="Times New Roman"/>
        </w:rPr>
        <w:t xml:space="preserve"> under Code Sec. 245A</w:t>
      </w:r>
      <w:r w:rsidR="00071B0F">
        <w:rPr>
          <w:rFonts w:ascii="Times New Roman" w:hAnsi="Times New Roman" w:cs="Times New Roman"/>
        </w:rPr>
        <w:t>;</w:t>
      </w:r>
    </w:p>
    <w:p w14:paraId="0D83C0E2" w14:textId="22F0B064" w:rsidR="00363C56" w:rsidRDefault="00685812" w:rsidP="0096648D">
      <w:pPr>
        <w:widowControl w:val="0"/>
        <w:spacing w:after="240" w:line="240" w:lineRule="auto"/>
        <w:ind w:left="720" w:right="720"/>
        <w:rPr>
          <w:rFonts w:ascii="Times New Roman" w:hAnsi="Times New Roman" w:cs="Times New Roman"/>
        </w:rPr>
      </w:pPr>
      <w:r>
        <w:rPr>
          <w:rFonts w:ascii="Times New Roman" w:hAnsi="Times New Roman" w:cs="Times New Roman"/>
        </w:rPr>
        <w:t xml:space="preserve">(4) a </w:t>
      </w:r>
      <w:r w:rsidR="00920F8B">
        <w:rPr>
          <w:rFonts w:ascii="Times New Roman" w:hAnsi="Times New Roman" w:cs="Times New Roman"/>
        </w:rPr>
        <w:t xml:space="preserve">deferral system for individual U.S. shareholders </w:t>
      </w:r>
      <w:r w:rsidR="00E156F2">
        <w:rPr>
          <w:rFonts w:ascii="Times New Roman" w:hAnsi="Times New Roman" w:cs="Times New Roman"/>
        </w:rPr>
        <w:t>of 10/50 companies</w:t>
      </w:r>
      <w:r w:rsidR="00B326E2">
        <w:rPr>
          <w:rFonts w:ascii="Times New Roman" w:hAnsi="Times New Roman" w:cs="Times New Roman"/>
        </w:rPr>
        <w:t xml:space="preserve">: </w:t>
      </w:r>
      <w:r w:rsidR="00071B0F">
        <w:rPr>
          <w:rFonts w:ascii="Times New Roman" w:hAnsi="Times New Roman" w:cs="Times New Roman"/>
        </w:rPr>
        <w:t>an individual U.S. shareholder of a 10/50 company is not taxed immediately on any income of such companies, but then all the untaxed E&amp;P of the companies</w:t>
      </w:r>
      <w:r w:rsidR="00B326E2">
        <w:rPr>
          <w:rFonts w:ascii="Times New Roman" w:hAnsi="Times New Roman" w:cs="Times New Roman"/>
        </w:rPr>
        <w:t xml:space="preserve"> are</w:t>
      </w:r>
      <w:r w:rsidR="00071B0F">
        <w:rPr>
          <w:rFonts w:ascii="Times New Roman" w:hAnsi="Times New Roman" w:cs="Times New Roman"/>
        </w:rPr>
        <w:t xml:space="preserve"> taxed upon repatriation</w:t>
      </w:r>
      <w:r w:rsidR="00E156F2">
        <w:rPr>
          <w:rFonts w:ascii="Times New Roman" w:hAnsi="Times New Roman" w:cs="Times New Roman"/>
        </w:rPr>
        <w:t>.</w:t>
      </w:r>
      <w:r w:rsidR="006E3507">
        <w:rPr>
          <w:rStyle w:val="FootnoteReference"/>
          <w:rFonts w:ascii="Times New Roman" w:hAnsi="Times New Roman" w:cs="Times New Roman"/>
        </w:rPr>
        <w:footnoteReference w:id="131"/>
      </w:r>
    </w:p>
    <w:p w14:paraId="5A1992CC" w14:textId="54389E83" w:rsidR="00E928F0" w:rsidRDefault="004853C1" w:rsidP="0096648D">
      <w:pPr>
        <w:widowControl w:val="0"/>
        <w:spacing w:after="240" w:line="240" w:lineRule="auto"/>
        <w:rPr>
          <w:rFonts w:ascii="Times New Roman" w:hAnsi="Times New Roman" w:cs="Times New Roman"/>
        </w:rPr>
      </w:pPr>
      <w:r>
        <w:rPr>
          <w:rFonts w:ascii="Times New Roman" w:hAnsi="Times New Roman" w:cs="Times New Roman"/>
        </w:rPr>
        <w:t>There is also a separate system of taxation that applies to small shareholders of foreign corporations, regardless of whether the foreign corporation is a CFC, a 10/50 company, or neither.</w:t>
      </w:r>
      <w:r w:rsidR="00A5108A">
        <w:rPr>
          <w:rFonts w:ascii="Times New Roman" w:hAnsi="Times New Roman" w:cs="Times New Roman"/>
        </w:rPr>
        <w:t xml:space="preserve"> </w:t>
      </w:r>
      <w:r w:rsidR="00851C68">
        <w:rPr>
          <w:rFonts w:ascii="Times New Roman" w:hAnsi="Times New Roman" w:cs="Times New Roman"/>
        </w:rPr>
        <w:t xml:space="preserve">Similar to individual U.S. shareholders of 10/50 company, a small shareholder is not taxed until </w:t>
      </w:r>
      <w:r w:rsidR="0091227A">
        <w:rPr>
          <w:rFonts w:ascii="Times New Roman" w:hAnsi="Times New Roman" w:cs="Times New Roman"/>
        </w:rPr>
        <w:t>it receives a dividend.</w:t>
      </w:r>
    </w:p>
    <w:p w14:paraId="5659AB7C" w14:textId="2DEC377D" w:rsidR="00EF3873" w:rsidRDefault="006E7F8F" w:rsidP="0096648D">
      <w:pPr>
        <w:widowControl w:val="0"/>
        <w:spacing w:after="240" w:line="240" w:lineRule="auto"/>
        <w:rPr>
          <w:rFonts w:ascii="Times New Roman" w:hAnsi="Times New Roman" w:cs="Times New Roman"/>
        </w:rPr>
      </w:pPr>
      <w:r>
        <w:rPr>
          <w:rFonts w:ascii="Times New Roman" w:hAnsi="Times New Roman" w:cs="Times New Roman"/>
        </w:rPr>
        <w:t xml:space="preserve">Changes </w:t>
      </w:r>
      <w:r w:rsidR="00BC3075">
        <w:rPr>
          <w:rFonts w:ascii="Times New Roman" w:hAnsi="Times New Roman" w:cs="Times New Roman"/>
        </w:rPr>
        <w:t xml:space="preserve">made to the </w:t>
      </w:r>
      <w:r w:rsidR="00975956">
        <w:rPr>
          <w:rFonts w:ascii="Times New Roman" w:hAnsi="Times New Roman" w:cs="Times New Roman"/>
        </w:rPr>
        <w:t xml:space="preserve">taxation of U.S. shareholders </w:t>
      </w:r>
      <w:r w:rsidR="00BB5E49">
        <w:rPr>
          <w:rFonts w:ascii="Times New Roman" w:hAnsi="Times New Roman" w:cs="Times New Roman"/>
        </w:rPr>
        <w:t xml:space="preserve">of foreign </w:t>
      </w:r>
      <w:r w:rsidR="009B09B2">
        <w:rPr>
          <w:rFonts w:ascii="Times New Roman" w:hAnsi="Times New Roman" w:cs="Times New Roman"/>
        </w:rPr>
        <w:t>corporations</w:t>
      </w:r>
      <w:r w:rsidR="00BC3075">
        <w:rPr>
          <w:rFonts w:ascii="Times New Roman" w:hAnsi="Times New Roman" w:cs="Times New Roman"/>
        </w:rPr>
        <w:t xml:space="preserve"> </w:t>
      </w:r>
      <w:r w:rsidR="009F1A8F">
        <w:rPr>
          <w:rFonts w:ascii="Times New Roman" w:hAnsi="Times New Roman" w:cs="Times New Roman"/>
        </w:rPr>
        <w:t>include</w:t>
      </w:r>
      <w:r w:rsidR="00FD19B3">
        <w:rPr>
          <w:rFonts w:ascii="Times New Roman" w:hAnsi="Times New Roman" w:cs="Times New Roman"/>
        </w:rPr>
        <w:t xml:space="preserve"> enacting Code Sec</w:t>
      </w:r>
      <w:r w:rsidR="0012048A">
        <w:rPr>
          <w:rFonts w:ascii="Times New Roman" w:hAnsi="Times New Roman" w:cs="Times New Roman"/>
        </w:rPr>
        <w:t>s</w:t>
      </w:r>
      <w:r w:rsidR="00FD19B3">
        <w:rPr>
          <w:rFonts w:ascii="Times New Roman" w:hAnsi="Times New Roman" w:cs="Times New Roman"/>
        </w:rPr>
        <w:t>. 965</w:t>
      </w:r>
      <w:r w:rsidR="00A22745">
        <w:rPr>
          <w:rFonts w:ascii="Times New Roman" w:hAnsi="Times New Roman" w:cs="Times New Roman"/>
        </w:rPr>
        <w:t xml:space="preserve">, 245A, 951A, and repealing </w:t>
      </w:r>
      <w:r w:rsidR="00FC3060">
        <w:rPr>
          <w:rFonts w:ascii="Times New Roman" w:hAnsi="Times New Roman" w:cs="Times New Roman"/>
        </w:rPr>
        <w:t>Code Sec. 958(b)(4)</w:t>
      </w:r>
      <w:r w:rsidR="009C35BE">
        <w:rPr>
          <w:rFonts w:ascii="Times New Roman" w:hAnsi="Times New Roman" w:cs="Times New Roman"/>
        </w:rPr>
        <w:t xml:space="preserve">, as described below. </w:t>
      </w:r>
    </w:p>
    <w:p w14:paraId="3029C5A4" w14:textId="1B112E81" w:rsidR="009C35BE" w:rsidRDefault="00B86E08" w:rsidP="0096648D">
      <w:pPr>
        <w:pStyle w:val="Heading5"/>
        <w:numPr>
          <w:ilvl w:val="0"/>
          <w:numId w:val="60"/>
        </w:numPr>
      </w:pPr>
      <w:r>
        <w:t>Code Sec.</w:t>
      </w:r>
      <w:r w:rsidR="009C35BE">
        <w:t xml:space="preserve"> 965 </w:t>
      </w:r>
      <w:r w:rsidR="00070F0F">
        <w:t xml:space="preserve">and the </w:t>
      </w:r>
      <w:r w:rsidR="003C2D6F">
        <w:t>transition tax</w:t>
      </w:r>
    </w:p>
    <w:p w14:paraId="7035A091" w14:textId="16435646" w:rsidR="009C35BE" w:rsidRPr="007F4055" w:rsidRDefault="007F4055" w:rsidP="005E68EE">
      <w:pPr>
        <w:widowControl w:val="0"/>
        <w:spacing w:after="240" w:line="240" w:lineRule="auto"/>
        <w:rPr>
          <w:rFonts w:ascii="Times New Roman" w:hAnsi="Times New Roman" w:cs="Times New Roman"/>
        </w:rPr>
      </w:pPr>
      <w:r w:rsidRPr="007F4055">
        <w:rPr>
          <w:rFonts w:ascii="Times New Roman" w:hAnsi="Times New Roman" w:cs="Times New Roman"/>
        </w:rPr>
        <w:t xml:space="preserve">To transition from the </w:t>
      </w:r>
      <w:r w:rsidR="0091227A">
        <w:rPr>
          <w:rFonts w:ascii="Times New Roman" w:hAnsi="Times New Roman" w:cs="Times New Roman"/>
        </w:rPr>
        <w:t>deferral</w:t>
      </w:r>
      <w:r w:rsidRPr="007F4055">
        <w:rPr>
          <w:rFonts w:ascii="Times New Roman" w:hAnsi="Times New Roman" w:cs="Times New Roman"/>
        </w:rPr>
        <w:t xml:space="preserve"> </w:t>
      </w:r>
      <w:r w:rsidR="0035243D">
        <w:rPr>
          <w:rFonts w:ascii="Times New Roman" w:hAnsi="Times New Roman" w:cs="Times New Roman"/>
        </w:rPr>
        <w:t>system of</w:t>
      </w:r>
      <w:r w:rsidRPr="007F4055">
        <w:rPr>
          <w:rFonts w:ascii="Times New Roman" w:hAnsi="Times New Roman" w:cs="Times New Roman"/>
        </w:rPr>
        <w:t xml:space="preserve"> international taxation to the system prescribed by the TCJA, Congress amended </w:t>
      </w:r>
      <w:r w:rsidR="00B86E08">
        <w:rPr>
          <w:rFonts w:ascii="Times New Roman" w:hAnsi="Times New Roman" w:cs="Times New Roman"/>
        </w:rPr>
        <w:t>Code Sec.</w:t>
      </w:r>
      <w:r w:rsidRPr="007F4055">
        <w:rPr>
          <w:rFonts w:ascii="Times New Roman" w:hAnsi="Times New Roman" w:cs="Times New Roman"/>
        </w:rPr>
        <w:t xml:space="preserve"> 965 to require U.S. shareholders of</w:t>
      </w:r>
      <w:r>
        <w:rPr>
          <w:rFonts w:ascii="Times New Roman" w:hAnsi="Times New Roman" w:cs="Times New Roman"/>
        </w:rPr>
        <w:t xml:space="preserve"> </w:t>
      </w:r>
      <w:r w:rsidR="00752D7C">
        <w:rPr>
          <w:rFonts w:ascii="Times New Roman" w:hAnsi="Times New Roman" w:cs="Times New Roman"/>
        </w:rPr>
        <w:t xml:space="preserve">CFCs and 10/50 companies </w:t>
      </w:r>
      <w:r w:rsidRPr="007F4055">
        <w:rPr>
          <w:rFonts w:ascii="Times New Roman" w:hAnsi="Times New Roman" w:cs="Times New Roman"/>
        </w:rPr>
        <w:t xml:space="preserve">with untaxed post-1986 </w:t>
      </w:r>
      <w:r w:rsidR="00662859">
        <w:rPr>
          <w:rFonts w:ascii="Times New Roman" w:hAnsi="Times New Roman" w:cs="Times New Roman"/>
        </w:rPr>
        <w:t>E&amp;P</w:t>
      </w:r>
      <w:r w:rsidRPr="007F4055">
        <w:rPr>
          <w:rFonts w:ascii="Times New Roman" w:hAnsi="Times New Roman" w:cs="Times New Roman"/>
        </w:rPr>
        <w:t xml:space="preserve"> to in</w:t>
      </w:r>
      <w:r w:rsidR="00662859">
        <w:rPr>
          <w:rFonts w:ascii="Times New Roman" w:hAnsi="Times New Roman" w:cs="Times New Roman"/>
        </w:rPr>
        <w:t xml:space="preserve">crease their subpart F inclusion </w:t>
      </w:r>
      <w:r w:rsidR="00B74AF7">
        <w:rPr>
          <w:rFonts w:ascii="Times New Roman" w:hAnsi="Times New Roman" w:cs="Times New Roman"/>
        </w:rPr>
        <w:t xml:space="preserve">by their </w:t>
      </w:r>
      <w:r w:rsidR="00B74AF7" w:rsidRPr="000735BF">
        <w:rPr>
          <w:rFonts w:ascii="Times New Roman" w:hAnsi="Times New Roman" w:cs="Times New Roman"/>
          <w:i/>
        </w:rPr>
        <w:t>pro rata</w:t>
      </w:r>
      <w:r w:rsidR="00B74AF7">
        <w:rPr>
          <w:rFonts w:ascii="Times New Roman" w:hAnsi="Times New Roman" w:cs="Times New Roman"/>
        </w:rPr>
        <w:t xml:space="preserve"> share of untaxed post-1986 E&amp;P </w:t>
      </w:r>
      <w:r w:rsidR="00601B88">
        <w:rPr>
          <w:rFonts w:ascii="Times New Roman" w:hAnsi="Times New Roman" w:cs="Times New Roman"/>
        </w:rPr>
        <w:t>of such corporations</w:t>
      </w:r>
      <w:r w:rsidR="00214B74">
        <w:rPr>
          <w:rFonts w:ascii="Times New Roman" w:hAnsi="Times New Roman" w:cs="Times New Roman"/>
        </w:rPr>
        <w:t xml:space="preserve"> calculated as of November 2, 2017, or December 31, 2017</w:t>
      </w:r>
      <w:r w:rsidR="00601B88">
        <w:rPr>
          <w:rFonts w:ascii="Times New Roman" w:hAnsi="Times New Roman" w:cs="Times New Roman"/>
        </w:rPr>
        <w:t>.</w:t>
      </w:r>
      <w:r w:rsidR="00834705">
        <w:rPr>
          <w:rStyle w:val="FootnoteReference"/>
          <w:rFonts w:ascii="Times New Roman" w:hAnsi="Times New Roman" w:cs="Times New Roman"/>
        </w:rPr>
        <w:footnoteReference w:id="132"/>
      </w:r>
      <w:r w:rsidR="00A5108A">
        <w:rPr>
          <w:rFonts w:ascii="Times New Roman" w:hAnsi="Times New Roman" w:cs="Times New Roman"/>
        </w:rPr>
        <w:t xml:space="preserve"> </w:t>
      </w:r>
      <w:r w:rsidR="00B270A0">
        <w:rPr>
          <w:rFonts w:ascii="Times New Roman" w:hAnsi="Times New Roman" w:cs="Times New Roman"/>
        </w:rPr>
        <w:t xml:space="preserve">The </w:t>
      </w:r>
      <w:r w:rsidR="00B86E08">
        <w:rPr>
          <w:rFonts w:ascii="Times New Roman" w:hAnsi="Times New Roman" w:cs="Times New Roman"/>
        </w:rPr>
        <w:t xml:space="preserve">Code Sec. 965 inclusion </w:t>
      </w:r>
      <w:r w:rsidR="007B0F01">
        <w:rPr>
          <w:rFonts w:ascii="Times New Roman" w:hAnsi="Times New Roman" w:cs="Times New Roman"/>
        </w:rPr>
        <w:t>was</w:t>
      </w:r>
      <w:r w:rsidR="00B86E08">
        <w:rPr>
          <w:rFonts w:ascii="Times New Roman" w:hAnsi="Times New Roman" w:cs="Times New Roman"/>
        </w:rPr>
        <w:t xml:space="preserve"> taxed a</w:t>
      </w:r>
      <w:r w:rsidR="00CA1E2D">
        <w:rPr>
          <w:rFonts w:ascii="Times New Roman" w:hAnsi="Times New Roman" w:cs="Times New Roman"/>
        </w:rPr>
        <w:t>t</w:t>
      </w:r>
      <w:r w:rsidR="00B86E08">
        <w:rPr>
          <w:rFonts w:ascii="Times New Roman" w:hAnsi="Times New Roman" w:cs="Times New Roman"/>
        </w:rPr>
        <w:t xml:space="preserve"> </w:t>
      </w:r>
      <w:r w:rsidR="0091227A">
        <w:rPr>
          <w:rFonts w:ascii="Times New Roman" w:hAnsi="Times New Roman" w:cs="Times New Roman"/>
        </w:rPr>
        <w:t>a blended rate of</w:t>
      </w:r>
      <w:r w:rsidR="003A31A3">
        <w:rPr>
          <w:rFonts w:ascii="Times New Roman" w:hAnsi="Times New Roman" w:cs="Times New Roman"/>
        </w:rPr>
        <w:t xml:space="preserve"> 15 percent </w:t>
      </w:r>
      <w:r w:rsidR="00D37CBD">
        <w:rPr>
          <w:rFonts w:ascii="Times New Roman" w:hAnsi="Times New Roman" w:cs="Times New Roman"/>
        </w:rPr>
        <w:t>to the extent of its CFC aggregate cash position and 8.5 percent for the remaining inclusion.</w:t>
      </w:r>
      <w:r w:rsidR="00F116C5">
        <w:rPr>
          <w:rStyle w:val="FootnoteReference"/>
          <w:rFonts w:ascii="Times New Roman" w:hAnsi="Times New Roman" w:cs="Times New Roman"/>
        </w:rPr>
        <w:footnoteReference w:id="133"/>
      </w:r>
    </w:p>
    <w:p w14:paraId="6C47E00D" w14:textId="75B2CFCE" w:rsidR="000C7D00" w:rsidRPr="000C7D00" w:rsidRDefault="00070F0F" w:rsidP="0096648D">
      <w:pPr>
        <w:pStyle w:val="Heading5"/>
        <w:rPr>
          <w:rFonts w:eastAsia="Calibri"/>
        </w:rPr>
      </w:pPr>
      <w:r>
        <w:rPr>
          <w:rFonts w:eastAsia="Calibri"/>
        </w:rPr>
        <w:t>GILTI</w:t>
      </w:r>
    </w:p>
    <w:p w14:paraId="018691AF" w14:textId="68FE7D6B" w:rsidR="00925EC2" w:rsidRDefault="000F3801" w:rsidP="0096648D">
      <w:pPr>
        <w:widowControl w:val="0"/>
        <w:spacing w:after="240" w:line="240" w:lineRule="auto"/>
        <w:rPr>
          <w:rFonts w:ascii="Times New Roman" w:eastAsia="Calibri" w:hAnsi="Times New Roman" w:cs="Times New Roman"/>
        </w:rPr>
      </w:pPr>
      <w:r w:rsidRPr="00F04920">
        <w:rPr>
          <w:rFonts w:ascii="Times New Roman" w:eastAsia="Calibri" w:hAnsi="Times New Roman" w:cs="Times New Roman"/>
        </w:rPr>
        <w:t>To prevent taxpayers from moving operations offshore to low-taxed jurisdictions and repatriating low-</w:t>
      </w:r>
      <w:r w:rsidRPr="00F04920">
        <w:rPr>
          <w:rFonts w:ascii="Times New Roman" w:eastAsia="Calibri" w:hAnsi="Times New Roman" w:cs="Times New Roman"/>
        </w:rPr>
        <w:lastRenderedPageBreak/>
        <w:t xml:space="preserve">taxed earnings in a tax-free manner under </w:t>
      </w:r>
      <w:r w:rsidR="002E1C17">
        <w:rPr>
          <w:rFonts w:ascii="Times New Roman" w:eastAsia="Calibri" w:hAnsi="Times New Roman" w:cs="Times New Roman"/>
        </w:rPr>
        <w:t xml:space="preserve">Code Sec. </w:t>
      </w:r>
      <w:r w:rsidRPr="00F04920">
        <w:rPr>
          <w:rFonts w:ascii="Times New Roman" w:eastAsia="Calibri" w:hAnsi="Times New Roman" w:cs="Times New Roman"/>
        </w:rPr>
        <w:t xml:space="preserve">245A, the </w:t>
      </w:r>
      <w:r w:rsidR="002F58FC">
        <w:rPr>
          <w:rFonts w:ascii="Times New Roman" w:eastAsia="Calibri" w:hAnsi="Times New Roman" w:cs="Times New Roman"/>
        </w:rPr>
        <w:t>TCJA enacted</w:t>
      </w:r>
      <w:r w:rsidR="00EE3E9C">
        <w:rPr>
          <w:rFonts w:ascii="Times New Roman" w:eastAsia="Calibri" w:hAnsi="Times New Roman" w:cs="Times New Roman"/>
        </w:rPr>
        <w:t xml:space="preserve"> the </w:t>
      </w:r>
      <w:r w:rsidRPr="008D1C50">
        <w:rPr>
          <w:rFonts w:ascii="Times New Roman" w:eastAsia="Calibri" w:hAnsi="Times New Roman" w:cs="Times New Roman"/>
        </w:rPr>
        <w:t>GILTI</w:t>
      </w:r>
      <w:r w:rsidRPr="00F04920">
        <w:rPr>
          <w:rFonts w:ascii="Times New Roman" w:eastAsia="Calibri" w:hAnsi="Times New Roman" w:cs="Times New Roman"/>
        </w:rPr>
        <w:t xml:space="preserve"> regime. Under the GILTI regime, a U.S. shareholder is required to include in its gross income its </w:t>
      </w:r>
      <w:r w:rsidRPr="008D1C50">
        <w:rPr>
          <w:rFonts w:ascii="Times New Roman" w:eastAsia="Calibri" w:hAnsi="Times New Roman" w:cs="Times New Roman"/>
          <w:i/>
        </w:rPr>
        <w:t>pro rata</w:t>
      </w:r>
      <w:r w:rsidRPr="00F04920">
        <w:rPr>
          <w:rFonts w:ascii="Times New Roman" w:eastAsia="Calibri" w:hAnsi="Times New Roman" w:cs="Times New Roman"/>
        </w:rPr>
        <w:t xml:space="preserve"> share of </w:t>
      </w:r>
      <w:r w:rsidR="00962366">
        <w:rPr>
          <w:rFonts w:ascii="Times New Roman" w:eastAsia="Calibri" w:hAnsi="Times New Roman" w:cs="Times New Roman"/>
        </w:rPr>
        <w:t xml:space="preserve">its GILTI amount for the taxable year. </w:t>
      </w:r>
      <w:r w:rsidR="00A349FB">
        <w:rPr>
          <w:rFonts w:ascii="Times New Roman" w:eastAsia="Calibri" w:hAnsi="Times New Roman" w:cs="Times New Roman"/>
        </w:rPr>
        <w:t>GILTI is the excess (if any) of a U.S. shareholder’s net CFC tested income for the taxable year over its net deemed tangible income return for the taxable year.</w:t>
      </w:r>
      <w:r w:rsidR="00335B4E">
        <w:rPr>
          <w:rStyle w:val="FootnoteReference"/>
          <w:rFonts w:ascii="Times New Roman" w:eastAsia="Calibri" w:hAnsi="Times New Roman" w:cs="Times New Roman"/>
        </w:rPr>
        <w:footnoteReference w:id="134"/>
      </w:r>
      <w:r w:rsidR="00A349FB">
        <w:rPr>
          <w:rFonts w:ascii="Times New Roman" w:eastAsia="Calibri" w:hAnsi="Times New Roman" w:cs="Times New Roman"/>
        </w:rPr>
        <w:t xml:space="preserve"> </w:t>
      </w:r>
      <w:r w:rsidR="00BE5AFC">
        <w:rPr>
          <w:rFonts w:ascii="Times New Roman" w:eastAsia="Calibri" w:hAnsi="Times New Roman" w:cs="Times New Roman"/>
        </w:rPr>
        <w:t>“</w:t>
      </w:r>
      <w:r w:rsidR="002F6AB2">
        <w:rPr>
          <w:rFonts w:ascii="Times New Roman" w:eastAsia="Calibri" w:hAnsi="Times New Roman" w:cs="Times New Roman"/>
        </w:rPr>
        <w:t>Net CFC tested income</w:t>
      </w:r>
      <w:r w:rsidR="00BE5AFC">
        <w:rPr>
          <w:rFonts w:ascii="Times New Roman" w:eastAsia="Calibri" w:hAnsi="Times New Roman" w:cs="Times New Roman"/>
        </w:rPr>
        <w:t>”</w:t>
      </w:r>
      <w:r w:rsidR="002F6AB2">
        <w:rPr>
          <w:rFonts w:ascii="Times New Roman" w:eastAsia="Calibri" w:hAnsi="Times New Roman" w:cs="Times New Roman"/>
        </w:rPr>
        <w:t xml:space="preserve"> is a U.S. shareholder’s </w:t>
      </w:r>
      <w:r w:rsidR="002F6AB2" w:rsidRPr="008D1C50">
        <w:rPr>
          <w:rFonts w:ascii="Times New Roman" w:eastAsia="Calibri" w:hAnsi="Times New Roman" w:cs="Times New Roman"/>
          <w:i/>
        </w:rPr>
        <w:t>pro rata</w:t>
      </w:r>
      <w:r w:rsidR="002F6AB2">
        <w:rPr>
          <w:rFonts w:ascii="Times New Roman" w:eastAsia="Calibri" w:hAnsi="Times New Roman" w:cs="Times New Roman"/>
        </w:rPr>
        <w:t xml:space="preserve"> shares of the aggregate tested income of all CFCs less the U.S. shareholder’s </w:t>
      </w:r>
      <w:r w:rsidR="002F6AB2" w:rsidRPr="008D1C50">
        <w:rPr>
          <w:rFonts w:ascii="Times New Roman" w:eastAsia="Calibri" w:hAnsi="Times New Roman" w:cs="Times New Roman"/>
          <w:i/>
        </w:rPr>
        <w:t>pro rata</w:t>
      </w:r>
      <w:r w:rsidR="002F6AB2">
        <w:rPr>
          <w:rFonts w:ascii="Times New Roman" w:eastAsia="Calibri" w:hAnsi="Times New Roman" w:cs="Times New Roman"/>
        </w:rPr>
        <w:t xml:space="preserve"> share</w:t>
      </w:r>
      <w:r w:rsidR="00EE3E9C">
        <w:rPr>
          <w:rFonts w:ascii="Times New Roman" w:eastAsia="Calibri" w:hAnsi="Times New Roman" w:cs="Times New Roman"/>
        </w:rPr>
        <w:t>s</w:t>
      </w:r>
      <w:r w:rsidR="002F6AB2">
        <w:rPr>
          <w:rFonts w:ascii="Times New Roman" w:eastAsia="Calibri" w:hAnsi="Times New Roman" w:cs="Times New Roman"/>
        </w:rPr>
        <w:t xml:space="preserve"> of the aggregate tested loss</w:t>
      </w:r>
      <w:r w:rsidR="00EE3E9C">
        <w:rPr>
          <w:rFonts w:ascii="Times New Roman" w:eastAsia="Calibri" w:hAnsi="Times New Roman" w:cs="Times New Roman"/>
        </w:rPr>
        <w:t>es</w:t>
      </w:r>
      <w:r w:rsidR="002F6AB2">
        <w:rPr>
          <w:rFonts w:ascii="Times New Roman" w:eastAsia="Calibri" w:hAnsi="Times New Roman" w:cs="Times New Roman"/>
        </w:rPr>
        <w:t xml:space="preserve"> of all CFCs.</w:t>
      </w:r>
      <w:r w:rsidR="00DA7CEF">
        <w:rPr>
          <w:rStyle w:val="FootnoteReference"/>
          <w:rFonts w:ascii="Times New Roman" w:eastAsia="Calibri" w:hAnsi="Times New Roman" w:cs="Times New Roman"/>
        </w:rPr>
        <w:footnoteReference w:id="135"/>
      </w:r>
      <w:r w:rsidR="002F6AB2">
        <w:rPr>
          <w:rFonts w:ascii="Times New Roman" w:eastAsia="Calibri" w:hAnsi="Times New Roman" w:cs="Times New Roman"/>
        </w:rPr>
        <w:t xml:space="preserve"> </w:t>
      </w:r>
      <w:r w:rsidR="00BE5AFC">
        <w:rPr>
          <w:rFonts w:ascii="Times New Roman" w:eastAsia="Calibri" w:hAnsi="Times New Roman" w:cs="Times New Roman"/>
        </w:rPr>
        <w:t>“</w:t>
      </w:r>
      <w:r w:rsidR="00CB4B5A">
        <w:rPr>
          <w:rFonts w:ascii="Times New Roman" w:eastAsia="Calibri" w:hAnsi="Times New Roman" w:cs="Times New Roman"/>
        </w:rPr>
        <w:t>Tested income</w:t>
      </w:r>
      <w:r w:rsidR="00BE5AFC">
        <w:rPr>
          <w:rFonts w:ascii="Times New Roman" w:eastAsia="Calibri" w:hAnsi="Times New Roman" w:cs="Times New Roman"/>
        </w:rPr>
        <w:t>”</w:t>
      </w:r>
      <w:r w:rsidR="00CB4B5A">
        <w:rPr>
          <w:rFonts w:ascii="Times New Roman" w:eastAsia="Calibri" w:hAnsi="Times New Roman" w:cs="Times New Roman"/>
        </w:rPr>
        <w:t xml:space="preserve"> </w:t>
      </w:r>
      <w:r w:rsidR="00675E85">
        <w:rPr>
          <w:rFonts w:ascii="Times New Roman" w:eastAsia="Calibri" w:hAnsi="Times New Roman" w:cs="Times New Roman"/>
        </w:rPr>
        <w:t xml:space="preserve">is the amount that a CFC’s gross tested income </w:t>
      </w:r>
      <w:r w:rsidR="006D3344">
        <w:rPr>
          <w:rFonts w:ascii="Times New Roman" w:eastAsia="Calibri" w:hAnsi="Times New Roman" w:cs="Times New Roman"/>
        </w:rPr>
        <w:t xml:space="preserve">exceeds the deductions properly allocable to tested income. </w:t>
      </w:r>
      <w:r w:rsidR="00285CDF">
        <w:rPr>
          <w:rFonts w:ascii="Times New Roman" w:eastAsia="Calibri" w:hAnsi="Times New Roman" w:cs="Times New Roman"/>
        </w:rPr>
        <w:t xml:space="preserve">Gross tested income includes all income except </w:t>
      </w:r>
      <w:r w:rsidR="00507C9F">
        <w:rPr>
          <w:rFonts w:ascii="Times New Roman" w:eastAsia="Calibri" w:hAnsi="Times New Roman" w:cs="Times New Roman"/>
        </w:rPr>
        <w:t xml:space="preserve">ECI, amounts taken into account in determining subpart F income, amounts excluded under the </w:t>
      </w:r>
      <w:r w:rsidR="00C45F80">
        <w:rPr>
          <w:rFonts w:ascii="Times New Roman" w:eastAsia="Calibri" w:hAnsi="Times New Roman" w:cs="Times New Roman"/>
        </w:rPr>
        <w:t xml:space="preserve">subpart F </w:t>
      </w:r>
      <w:r w:rsidR="00507C9F">
        <w:rPr>
          <w:rFonts w:ascii="Times New Roman" w:eastAsia="Calibri" w:hAnsi="Times New Roman" w:cs="Times New Roman"/>
        </w:rPr>
        <w:t xml:space="preserve">high-tax </w:t>
      </w:r>
      <w:r w:rsidR="00C45F80">
        <w:rPr>
          <w:rFonts w:ascii="Times New Roman" w:eastAsia="Calibri" w:hAnsi="Times New Roman" w:cs="Times New Roman"/>
        </w:rPr>
        <w:t>exception</w:t>
      </w:r>
      <w:r w:rsidR="00E2764F">
        <w:rPr>
          <w:rFonts w:ascii="Times New Roman" w:eastAsia="Calibri" w:hAnsi="Times New Roman" w:cs="Times New Roman"/>
        </w:rPr>
        <w:t>, related party dividends, and foreign oil and gas extraction income</w:t>
      </w:r>
      <w:r w:rsidR="00DB38DB">
        <w:rPr>
          <w:rFonts w:ascii="Times New Roman" w:eastAsia="Calibri" w:hAnsi="Times New Roman" w:cs="Times New Roman"/>
        </w:rPr>
        <w:t xml:space="preserve"> (“</w:t>
      </w:r>
      <w:r w:rsidR="00DB38DB" w:rsidRPr="008D1C50">
        <w:rPr>
          <w:rFonts w:ascii="Times New Roman" w:hAnsi="Times New Roman" w:cs="Times New Roman"/>
          <w:b/>
          <w:bCs/>
        </w:rPr>
        <w:t>FOGEI</w:t>
      </w:r>
      <w:r w:rsidR="00DB38DB">
        <w:rPr>
          <w:rFonts w:ascii="Times New Roman" w:hAnsi="Times New Roman" w:cs="Times New Roman"/>
        </w:rPr>
        <w:t>”)</w:t>
      </w:r>
      <w:r w:rsidR="0002015B">
        <w:rPr>
          <w:rFonts w:ascii="Times New Roman" w:eastAsia="Calibri" w:hAnsi="Times New Roman" w:cs="Times New Roman"/>
        </w:rPr>
        <w:t>.</w:t>
      </w:r>
      <w:r w:rsidR="00DA7CEF">
        <w:rPr>
          <w:rStyle w:val="FootnoteReference"/>
          <w:rFonts w:ascii="Times New Roman" w:eastAsia="Calibri" w:hAnsi="Times New Roman" w:cs="Times New Roman"/>
        </w:rPr>
        <w:footnoteReference w:id="136"/>
      </w:r>
      <w:r w:rsidR="0002015B">
        <w:rPr>
          <w:rFonts w:ascii="Times New Roman" w:eastAsia="Calibri" w:hAnsi="Times New Roman" w:cs="Times New Roman"/>
        </w:rPr>
        <w:t xml:space="preserve"> </w:t>
      </w:r>
      <w:r w:rsidR="00734942">
        <w:rPr>
          <w:rFonts w:ascii="Times New Roman" w:eastAsia="Calibri" w:hAnsi="Times New Roman" w:cs="Times New Roman"/>
        </w:rPr>
        <w:t xml:space="preserve">Unlike subpart F income, tested income is not limited by E&amp;P. </w:t>
      </w:r>
    </w:p>
    <w:p w14:paraId="6D87C0EE" w14:textId="346B7974" w:rsidR="00C73096" w:rsidRDefault="00734942" w:rsidP="0096648D">
      <w:pPr>
        <w:widowControl w:val="0"/>
        <w:spacing w:after="240" w:line="240" w:lineRule="auto"/>
        <w:rPr>
          <w:rFonts w:ascii="Times New Roman" w:eastAsia="Calibri" w:hAnsi="Times New Roman" w:cs="Times New Roman"/>
        </w:rPr>
      </w:pPr>
      <w:r>
        <w:rPr>
          <w:rFonts w:ascii="Times New Roman" w:eastAsia="Calibri" w:hAnsi="Times New Roman" w:cs="Times New Roman"/>
        </w:rPr>
        <w:t>Certain items may reduce tested income</w:t>
      </w:r>
      <w:r w:rsidR="00883DB9">
        <w:rPr>
          <w:rFonts w:ascii="Times New Roman" w:eastAsia="Calibri" w:hAnsi="Times New Roman" w:cs="Times New Roman"/>
        </w:rPr>
        <w:t xml:space="preserve"> or GILTI</w:t>
      </w:r>
      <w:r>
        <w:rPr>
          <w:rFonts w:ascii="Times New Roman" w:eastAsia="Calibri" w:hAnsi="Times New Roman" w:cs="Times New Roman"/>
        </w:rPr>
        <w:t>, creating</w:t>
      </w:r>
      <w:r w:rsidR="00883DB9">
        <w:rPr>
          <w:rFonts w:ascii="Times New Roman" w:eastAsia="Calibri" w:hAnsi="Times New Roman" w:cs="Times New Roman"/>
        </w:rPr>
        <w:t xml:space="preserve"> CFC</w:t>
      </w:r>
      <w:r>
        <w:rPr>
          <w:rFonts w:ascii="Times New Roman" w:eastAsia="Calibri" w:hAnsi="Times New Roman" w:cs="Times New Roman"/>
        </w:rPr>
        <w:t xml:space="preserve"> income that is not </w:t>
      </w:r>
      <w:r w:rsidR="00883DB9">
        <w:rPr>
          <w:rFonts w:ascii="Times New Roman" w:eastAsia="Calibri" w:hAnsi="Times New Roman" w:cs="Times New Roman"/>
        </w:rPr>
        <w:t>included in the gross income of a U.S. shareholder under</w:t>
      </w:r>
      <w:r>
        <w:rPr>
          <w:rFonts w:ascii="Times New Roman" w:eastAsia="Calibri" w:hAnsi="Times New Roman" w:cs="Times New Roman"/>
        </w:rPr>
        <w:t xml:space="preserve"> either GILTI or subpart F</w:t>
      </w:r>
      <w:r w:rsidR="00E77E2D">
        <w:rPr>
          <w:rFonts w:ascii="Times New Roman" w:eastAsia="Calibri" w:hAnsi="Times New Roman" w:cs="Times New Roman"/>
        </w:rPr>
        <w:t xml:space="preserve">, thus creating untaxed E&amp;P described in Code Sec. 959(c)(3). </w:t>
      </w:r>
      <w:r w:rsidR="00883DB9">
        <w:rPr>
          <w:rFonts w:ascii="Times New Roman" w:eastAsia="Calibri" w:hAnsi="Times New Roman" w:cs="Times New Roman"/>
        </w:rPr>
        <w:t>First, for purposes of computing</w:t>
      </w:r>
      <w:r w:rsidR="00E77E2D">
        <w:rPr>
          <w:rFonts w:ascii="Times New Roman" w:eastAsia="Calibri" w:hAnsi="Times New Roman" w:cs="Times New Roman"/>
        </w:rPr>
        <w:t xml:space="preserve"> GILTI, net CFC tested income is reduced </w:t>
      </w:r>
      <w:r w:rsidR="0048237A">
        <w:rPr>
          <w:rFonts w:ascii="Times New Roman" w:eastAsia="Calibri" w:hAnsi="Times New Roman" w:cs="Times New Roman"/>
        </w:rPr>
        <w:t>by the</w:t>
      </w:r>
      <w:r w:rsidR="00F130FC">
        <w:rPr>
          <w:rFonts w:ascii="Times New Roman" w:eastAsia="Calibri" w:hAnsi="Times New Roman" w:cs="Times New Roman"/>
        </w:rPr>
        <w:t xml:space="preserve"> net deemed tangible income return, which is the </w:t>
      </w:r>
      <w:r w:rsidR="00F03F63">
        <w:rPr>
          <w:rFonts w:ascii="Times New Roman" w:eastAsia="Calibri" w:hAnsi="Times New Roman" w:cs="Times New Roman"/>
        </w:rPr>
        <w:t xml:space="preserve">excess of </w:t>
      </w:r>
      <w:r w:rsidR="0017134C">
        <w:rPr>
          <w:rFonts w:ascii="Times New Roman" w:eastAsia="Calibri" w:hAnsi="Times New Roman" w:cs="Times New Roman"/>
        </w:rPr>
        <w:t>ten</w:t>
      </w:r>
      <w:r w:rsidR="005A450D">
        <w:rPr>
          <w:rFonts w:ascii="Times New Roman" w:eastAsia="Calibri" w:hAnsi="Times New Roman" w:cs="Times New Roman"/>
        </w:rPr>
        <w:t xml:space="preserve"> </w:t>
      </w:r>
      <w:r w:rsidR="00F03F63">
        <w:rPr>
          <w:rFonts w:ascii="Times New Roman" w:eastAsia="Calibri" w:hAnsi="Times New Roman" w:cs="Times New Roman"/>
        </w:rPr>
        <w:t xml:space="preserve">percent of the aggregate of a U.S. shareholder’s </w:t>
      </w:r>
      <w:r w:rsidR="00F03F63" w:rsidRPr="008D1C50">
        <w:rPr>
          <w:rFonts w:ascii="Times New Roman" w:eastAsia="Calibri" w:hAnsi="Times New Roman" w:cs="Times New Roman"/>
          <w:i/>
        </w:rPr>
        <w:t>pro rata</w:t>
      </w:r>
      <w:r w:rsidR="00F03F63">
        <w:rPr>
          <w:rFonts w:ascii="Times New Roman" w:eastAsia="Calibri" w:hAnsi="Times New Roman" w:cs="Times New Roman"/>
        </w:rPr>
        <w:t xml:space="preserve"> share of the</w:t>
      </w:r>
      <w:r w:rsidR="00507C9F">
        <w:rPr>
          <w:rFonts w:ascii="Times New Roman" w:eastAsia="Calibri" w:hAnsi="Times New Roman" w:cs="Times New Roman"/>
        </w:rPr>
        <w:t xml:space="preserve"> </w:t>
      </w:r>
      <w:r w:rsidR="000F3801" w:rsidRPr="00F04920">
        <w:rPr>
          <w:rFonts w:ascii="Times New Roman" w:eastAsia="Calibri" w:hAnsi="Times New Roman" w:cs="Times New Roman"/>
        </w:rPr>
        <w:t>qualified business asset investment (“</w:t>
      </w:r>
      <w:r w:rsidR="000F3801" w:rsidRPr="00F04920">
        <w:rPr>
          <w:rFonts w:ascii="Times New Roman" w:eastAsia="Calibri" w:hAnsi="Times New Roman" w:cs="Times New Roman"/>
          <w:b/>
        </w:rPr>
        <w:t>QBAI</w:t>
      </w:r>
      <w:r w:rsidR="000F3801" w:rsidRPr="00F04920">
        <w:rPr>
          <w:rFonts w:ascii="Times New Roman" w:eastAsia="Calibri" w:hAnsi="Times New Roman" w:cs="Times New Roman"/>
        </w:rPr>
        <w:t>”)</w:t>
      </w:r>
      <w:r w:rsidR="004951C8">
        <w:rPr>
          <w:rFonts w:ascii="Times New Roman" w:eastAsia="Calibri" w:hAnsi="Times New Roman" w:cs="Times New Roman"/>
        </w:rPr>
        <w:t xml:space="preserve"> for the taxable year over the amount of interest expense taken into account in determining the U.S. shareholder’s net CFC tested income</w:t>
      </w:r>
      <w:r w:rsidR="000F3801" w:rsidRPr="00F04920">
        <w:rPr>
          <w:rFonts w:ascii="Times New Roman" w:eastAsia="Calibri" w:hAnsi="Times New Roman" w:cs="Times New Roman"/>
        </w:rPr>
        <w:t>.</w:t>
      </w:r>
      <w:r w:rsidR="00DA7CEF">
        <w:rPr>
          <w:rStyle w:val="FootnoteReference"/>
          <w:rFonts w:ascii="Times New Roman" w:eastAsia="Calibri" w:hAnsi="Times New Roman" w:cs="Times New Roman"/>
        </w:rPr>
        <w:footnoteReference w:id="137"/>
      </w:r>
      <w:r w:rsidR="007F153D">
        <w:rPr>
          <w:rFonts w:ascii="Times New Roman" w:eastAsia="Calibri" w:hAnsi="Times New Roman" w:cs="Times New Roman"/>
        </w:rPr>
        <w:t xml:space="preserve"> QBAI is the quarterly average of a CFC’s adjusted bases in tangible depreciable property used in the production of tested income.</w:t>
      </w:r>
      <w:r w:rsidR="00DA7CEF">
        <w:rPr>
          <w:rStyle w:val="FootnoteReference"/>
          <w:rFonts w:ascii="Times New Roman" w:eastAsia="Calibri" w:hAnsi="Times New Roman" w:cs="Times New Roman"/>
        </w:rPr>
        <w:footnoteReference w:id="138"/>
      </w:r>
      <w:r w:rsidR="007F153D">
        <w:rPr>
          <w:rFonts w:ascii="Times New Roman" w:eastAsia="Calibri" w:hAnsi="Times New Roman" w:cs="Times New Roman"/>
        </w:rPr>
        <w:t xml:space="preserve"> </w:t>
      </w:r>
      <w:r w:rsidR="007E6D46">
        <w:rPr>
          <w:rFonts w:ascii="Times New Roman" w:eastAsia="Calibri" w:hAnsi="Times New Roman" w:cs="Times New Roman"/>
        </w:rPr>
        <w:t xml:space="preserve">Tested income </w:t>
      </w:r>
      <w:r w:rsidR="00E77E2D">
        <w:rPr>
          <w:rFonts w:ascii="Times New Roman" w:eastAsia="Calibri" w:hAnsi="Times New Roman" w:cs="Times New Roman"/>
        </w:rPr>
        <w:t xml:space="preserve">of one CFC may also be </w:t>
      </w:r>
      <w:r w:rsidR="007E6D46">
        <w:rPr>
          <w:rFonts w:ascii="Times New Roman" w:eastAsia="Calibri" w:hAnsi="Times New Roman" w:cs="Times New Roman"/>
        </w:rPr>
        <w:t xml:space="preserve">offset by </w:t>
      </w:r>
      <w:r w:rsidR="00E77E2D">
        <w:rPr>
          <w:rFonts w:ascii="Times New Roman" w:eastAsia="Calibri" w:hAnsi="Times New Roman" w:cs="Times New Roman"/>
        </w:rPr>
        <w:t xml:space="preserve">a </w:t>
      </w:r>
      <w:r w:rsidR="007E6D46">
        <w:rPr>
          <w:rFonts w:ascii="Times New Roman" w:eastAsia="Calibri" w:hAnsi="Times New Roman" w:cs="Times New Roman"/>
        </w:rPr>
        <w:t>tested loss</w:t>
      </w:r>
      <w:r w:rsidR="00E77E2D">
        <w:rPr>
          <w:rFonts w:ascii="Times New Roman" w:eastAsia="Calibri" w:hAnsi="Times New Roman" w:cs="Times New Roman"/>
        </w:rPr>
        <w:t xml:space="preserve"> of another CFC with the same U.S. shareholder. A tested loss </w:t>
      </w:r>
      <w:r w:rsidR="00A4625C">
        <w:rPr>
          <w:rFonts w:ascii="Times New Roman" w:eastAsia="Calibri" w:hAnsi="Times New Roman" w:cs="Times New Roman"/>
        </w:rPr>
        <w:t>the amount that a CFC’s gross tested income is less than the deductions properly allocable to tested income</w:t>
      </w:r>
      <w:r w:rsidR="00E77E2D">
        <w:rPr>
          <w:rFonts w:ascii="Times New Roman" w:eastAsia="Calibri" w:hAnsi="Times New Roman" w:cs="Times New Roman"/>
        </w:rPr>
        <w:t>. Finally</w:t>
      </w:r>
      <w:r w:rsidR="0018400E">
        <w:rPr>
          <w:rFonts w:ascii="Times New Roman" w:eastAsia="Calibri" w:hAnsi="Times New Roman" w:cs="Times New Roman"/>
        </w:rPr>
        <w:t xml:space="preserve">, </w:t>
      </w:r>
      <w:r w:rsidR="00E77E2D">
        <w:rPr>
          <w:rFonts w:ascii="Times New Roman" w:eastAsia="Calibri" w:hAnsi="Times New Roman" w:cs="Times New Roman"/>
        </w:rPr>
        <w:t>if a U.S. shareholder so elects, CFC</w:t>
      </w:r>
      <w:r w:rsidR="00F37B04">
        <w:rPr>
          <w:rFonts w:ascii="Times New Roman" w:eastAsia="Calibri" w:hAnsi="Times New Roman" w:cs="Times New Roman"/>
        </w:rPr>
        <w:t xml:space="preserve"> income that is</w:t>
      </w:r>
      <w:r w:rsidR="00D52265">
        <w:rPr>
          <w:rFonts w:ascii="Times New Roman" w:eastAsia="Calibri" w:hAnsi="Times New Roman" w:cs="Times New Roman"/>
        </w:rPr>
        <w:t xml:space="preserve"> high-taxed</w:t>
      </w:r>
      <w:r w:rsidR="00E77E2D">
        <w:rPr>
          <w:rFonts w:ascii="Times New Roman" w:eastAsia="Calibri" w:hAnsi="Times New Roman" w:cs="Times New Roman"/>
        </w:rPr>
        <w:t xml:space="preserve"> is excluded </w:t>
      </w:r>
      <w:r w:rsidR="006F61AA">
        <w:rPr>
          <w:rFonts w:ascii="Times New Roman" w:eastAsia="Calibri" w:hAnsi="Times New Roman" w:cs="Times New Roman"/>
        </w:rPr>
        <w:t xml:space="preserve">under the GILTI high-tax exception </w:t>
      </w:r>
      <w:r w:rsidR="00E77E2D">
        <w:rPr>
          <w:rFonts w:ascii="Times New Roman" w:eastAsia="Calibri" w:hAnsi="Times New Roman" w:cs="Times New Roman"/>
        </w:rPr>
        <w:t>from the definition of tested income</w:t>
      </w:r>
      <w:r w:rsidR="00D17DDA">
        <w:rPr>
          <w:rFonts w:ascii="Times New Roman" w:eastAsia="Calibri" w:hAnsi="Times New Roman" w:cs="Times New Roman"/>
        </w:rPr>
        <w:t>,</w:t>
      </w:r>
      <w:r w:rsidR="002173FF">
        <w:rPr>
          <w:rStyle w:val="FootnoteReference"/>
          <w:rFonts w:ascii="Times New Roman" w:eastAsia="Calibri" w:hAnsi="Times New Roman" w:cs="Times New Roman"/>
        </w:rPr>
        <w:footnoteReference w:id="139"/>
      </w:r>
      <w:r w:rsidR="000F3801" w:rsidRPr="00F04920">
        <w:rPr>
          <w:rFonts w:ascii="Times New Roman" w:eastAsia="Calibri" w:hAnsi="Times New Roman" w:cs="Times New Roman"/>
        </w:rPr>
        <w:t xml:space="preserve"> </w:t>
      </w:r>
      <w:r w:rsidR="00D17DDA">
        <w:rPr>
          <w:rFonts w:ascii="Times New Roman" w:eastAsia="Calibri" w:hAnsi="Times New Roman" w:cs="Times New Roman"/>
        </w:rPr>
        <w:t>and thus excluded from GILTI.</w:t>
      </w:r>
    </w:p>
    <w:p w14:paraId="33A3983A" w14:textId="77777777" w:rsidR="00C42DEC" w:rsidRDefault="00C42DEC" w:rsidP="0096648D">
      <w:pPr>
        <w:pStyle w:val="Heading5"/>
      </w:pPr>
      <w:r>
        <w:t>Code Sec. 245A and the participation exemption</w:t>
      </w:r>
    </w:p>
    <w:p w14:paraId="2613B2E0" w14:textId="1969F771" w:rsidR="00C42DEC" w:rsidRPr="004A0BE1" w:rsidRDefault="00C42DEC" w:rsidP="005E68EE">
      <w:pPr>
        <w:pStyle w:val="Heading6"/>
        <w:contextualSpacing w:val="0"/>
        <w:rPr>
          <w:sz w:val="22"/>
          <w:szCs w:val="22"/>
        </w:rPr>
      </w:pPr>
      <w:r w:rsidRPr="004A0BE1">
        <w:rPr>
          <w:sz w:val="22"/>
          <w:szCs w:val="22"/>
        </w:rPr>
        <w:t>In general</w:t>
      </w:r>
    </w:p>
    <w:p w14:paraId="5CC211FE" w14:textId="1EBF5750" w:rsidR="00C42DEC" w:rsidRDefault="00C42DEC" w:rsidP="0096648D">
      <w:pPr>
        <w:widowControl w:val="0"/>
        <w:spacing w:after="240" w:line="240" w:lineRule="auto"/>
        <w:rPr>
          <w:rFonts w:ascii="Times New Roman" w:hAnsi="Times New Roman" w:cs="Times New Roman"/>
        </w:rPr>
      </w:pPr>
      <w:r w:rsidRPr="006A7DF3">
        <w:rPr>
          <w:rFonts w:ascii="Times New Roman" w:hAnsi="Times New Roman" w:cs="Times New Roman"/>
        </w:rPr>
        <w:t xml:space="preserve">To move towards </w:t>
      </w:r>
      <w:r>
        <w:rPr>
          <w:rFonts w:ascii="Times New Roman" w:hAnsi="Times New Roman" w:cs="Times New Roman"/>
        </w:rPr>
        <w:t>a</w:t>
      </w:r>
      <w:r w:rsidRPr="006A7DF3">
        <w:rPr>
          <w:rFonts w:ascii="Times New Roman" w:hAnsi="Times New Roman" w:cs="Times New Roman"/>
        </w:rPr>
        <w:t xml:space="preserve"> territorial system, the TCJA implemented a participation exemption in </w:t>
      </w:r>
      <w:r>
        <w:rPr>
          <w:rFonts w:ascii="Times New Roman" w:hAnsi="Times New Roman" w:cs="Times New Roman"/>
        </w:rPr>
        <w:t>Code Sec.</w:t>
      </w:r>
      <w:r w:rsidRPr="006A7DF3">
        <w:rPr>
          <w:rFonts w:ascii="Times New Roman" w:hAnsi="Times New Roman" w:cs="Times New Roman"/>
        </w:rPr>
        <w:t xml:space="preserve"> 245A</w:t>
      </w:r>
      <w:r>
        <w:rPr>
          <w:rFonts w:ascii="Times New Roman" w:hAnsi="Times New Roman" w:cs="Times New Roman"/>
        </w:rPr>
        <w:t xml:space="preserve"> for E&amp;P otherwise not taxed under GILTI or subpart F</w:t>
      </w:r>
      <w:r w:rsidRPr="006A7DF3">
        <w:rPr>
          <w:rFonts w:ascii="Times New Roman" w:hAnsi="Times New Roman" w:cs="Times New Roman"/>
        </w:rPr>
        <w:t>.</w:t>
      </w:r>
      <w:r>
        <w:rPr>
          <w:rFonts w:ascii="Times New Roman" w:hAnsi="Times New Roman" w:cs="Times New Roman"/>
        </w:rPr>
        <w:t xml:space="preserve"> </w:t>
      </w:r>
      <w:r w:rsidRPr="006A7DF3">
        <w:rPr>
          <w:rFonts w:ascii="Times New Roman" w:hAnsi="Times New Roman" w:cs="Times New Roman"/>
        </w:rPr>
        <w:t>Under this provision</w:t>
      </w:r>
      <w:r>
        <w:rPr>
          <w:rFonts w:ascii="Times New Roman" w:hAnsi="Times New Roman" w:cs="Times New Roman"/>
        </w:rPr>
        <w:t>,</w:t>
      </w:r>
      <w:r w:rsidRPr="006A7DF3">
        <w:rPr>
          <w:rFonts w:ascii="Times New Roman" w:hAnsi="Times New Roman" w:cs="Times New Roman"/>
        </w:rPr>
        <w:t xml:space="preserve"> a </w:t>
      </w:r>
      <w:r>
        <w:rPr>
          <w:rFonts w:ascii="Times New Roman" w:hAnsi="Times New Roman" w:cs="Times New Roman"/>
        </w:rPr>
        <w:t>domestic corporation that is</w:t>
      </w:r>
      <w:r w:rsidRPr="006A7DF3">
        <w:rPr>
          <w:rFonts w:ascii="Times New Roman" w:hAnsi="Times New Roman" w:cs="Times New Roman"/>
        </w:rPr>
        <w:t xml:space="preserve"> a U.S. shareholder is </w:t>
      </w:r>
      <w:r>
        <w:rPr>
          <w:rFonts w:ascii="Times New Roman" w:hAnsi="Times New Roman" w:cs="Times New Roman"/>
        </w:rPr>
        <w:t>generally</w:t>
      </w:r>
      <w:r w:rsidRPr="006A7DF3">
        <w:rPr>
          <w:rFonts w:ascii="Times New Roman" w:hAnsi="Times New Roman" w:cs="Times New Roman"/>
        </w:rPr>
        <w:t xml:space="preserve"> entitled to a 100</w:t>
      </w:r>
      <w:r w:rsidR="0047566C">
        <w:rPr>
          <w:rFonts w:ascii="Times New Roman" w:hAnsi="Times New Roman" w:cs="Times New Roman"/>
        </w:rPr>
        <w:t xml:space="preserve"> </w:t>
      </w:r>
      <w:r w:rsidRPr="006A7DF3">
        <w:rPr>
          <w:rFonts w:ascii="Times New Roman" w:hAnsi="Times New Roman" w:cs="Times New Roman"/>
        </w:rPr>
        <w:t>percent dividends received deduction (“</w:t>
      </w:r>
      <w:r>
        <w:rPr>
          <w:rFonts w:ascii="Times New Roman" w:hAnsi="Times New Roman" w:cs="Times New Roman"/>
          <w:b/>
          <w:bCs/>
        </w:rPr>
        <w:t xml:space="preserve">245A </w:t>
      </w:r>
      <w:r w:rsidRPr="006A7DF3">
        <w:rPr>
          <w:rFonts w:ascii="Times New Roman" w:hAnsi="Times New Roman" w:cs="Times New Roman"/>
          <w:b/>
        </w:rPr>
        <w:t>DRD</w:t>
      </w:r>
      <w:r w:rsidRPr="006A7DF3">
        <w:rPr>
          <w:rFonts w:ascii="Times New Roman" w:hAnsi="Times New Roman" w:cs="Times New Roman"/>
        </w:rPr>
        <w:t xml:space="preserve">”) for the foreign-source portion of any dividends received from </w:t>
      </w:r>
      <w:r>
        <w:rPr>
          <w:rFonts w:ascii="Times New Roman" w:hAnsi="Times New Roman" w:cs="Times New Roman"/>
        </w:rPr>
        <w:t>a specified foreign corporation (“</w:t>
      </w:r>
      <w:r w:rsidRPr="00752D7C">
        <w:rPr>
          <w:rFonts w:ascii="Times New Roman" w:hAnsi="Times New Roman" w:cs="Times New Roman"/>
          <w:b/>
          <w:bCs/>
        </w:rPr>
        <w:t>SFC</w:t>
      </w:r>
      <w:r>
        <w:rPr>
          <w:rFonts w:ascii="Times New Roman" w:hAnsi="Times New Roman" w:cs="Times New Roman"/>
        </w:rPr>
        <w:t>”)</w:t>
      </w:r>
      <w:r w:rsidRPr="006A7DF3">
        <w:rPr>
          <w:rFonts w:ascii="Times New Roman" w:hAnsi="Times New Roman" w:cs="Times New Roman"/>
        </w:rPr>
        <w:t xml:space="preserve"> subject to certain additional requirements.</w:t>
      </w:r>
      <w:r w:rsidR="00732DEE">
        <w:rPr>
          <w:rStyle w:val="FootnoteReference"/>
          <w:rFonts w:ascii="Times New Roman" w:hAnsi="Times New Roman" w:cs="Times New Roman"/>
        </w:rPr>
        <w:footnoteReference w:id="140"/>
      </w:r>
      <w:r>
        <w:rPr>
          <w:rFonts w:ascii="Times New Roman" w:hAnsi="Times New Roman" w:cs="Times New Roman"/>
        </w:rPr>
        <w:t xml:space="preserve"> An SFC is any foreign corporation held by a domestic corporation that is a U.S. shareholder (a “</w:t>
      </w:r>
      <w:r w:rsidRPr="00D37CBD">
        <w:rPr>
          <w:rFonts w:ascii="Times New Roman" w:hAnsi="Times New Roman" w:cs="Times New Roman"/>
          <w:b/>
        </w:rPr>
        <w:t>245A shareholder</w:t>
      </w:r>
      <w:r>
        <w:rPr>
          <w:rFonts w:ascii="Times New Roman" w:hAnsi="Times New Roman" w:cs="Times New Roman"/>
        </w:rPr>
        <w:t>”),</w:t>
      </w:r>
      <w:r>
        <w:rPr>
          <w:rStyle w:val="FootnoteReference"/>
          <w:rFonts w:ascii="Times New Roman" w:hAnsi="Times New Roman" w:cs="Times New Roman"/>
        </w:rPr>
        <w:footnoteReference w:id="141"/>
      </w:r>
      <w:r>
        <w:rPr>
          <w:rFonts w:ascii="Times New Roman" w:hAnsi="Times New Roman" w:cs="Times New Roman"/>
        </w:rPr>
        <w:t xml:space="preserve"> except that a PFIC is not an SFC unless the PFIC is a CFC with respect to the shareholder.</w:t>
      </w:r>
      <w:bookmarkStart w:id="13" w:name="OLE_LINK6"/>
      <w:r>
        <w:rPr>
          <w:rStyle w:val="FootnoteReference"/>
          <w:rFonts w:ascii="Times New Roman" w:hAnsi="Times New Roman" w:cs="Times New Roman"/>
        </w:rPr>
        <w:footnoteReference w:id="142"/>
      </w:r>
      <w:r>
        <w:rPr>
          <w:rFonts w:ascii="Times New Roman" w:hAnsi="Times New Roman" w:cs="Times New Roman"/>
        </w:rPr>
        <w:t xml:space="preserve"> </w:t>
      </w:r>
      <w:bookmarkEnd w:id="13"/>
      <w:r w:rsidR="00607031" w:rsidRPr="00607031">
        <w:rPr>
          <w:rFonts w:ascii="Times New Roman" w:hAnsi="Times New Roman" w:cs="Times New Roman"/>
        </w:rPr>
        <w:t>In the case of the sale or exchange by a</w:t>
      </w:r>
      <w:r w:rsidR="00607031">
        <w:rPr>
          <w:rFonts w:ascii="Times New Roman" w:hAnsi="Times New Roman" w:cs="Times New Roman"/>
        </w:rPr>
        <w:t xml:space="preserve"> corporate 1248 shareholder of the stock of a foreign corporation </w:t>
      </w:r>
      <w:r w:rsidR="00607031" w:rsidRPr="00607031">
        <w:rPr>
          <w:rFonts w:ascii="Times New Roman" w:hAnsi="Times New Roman" w:cs="Times New Roman"/>
        </w:rPr>
        <w:t xml:space="preserve">held for </w:t>
      </w:r>
      <w:r w:rsidR="00607031">
        <w:rPr>
          <w:rFonts w:ascii="Times New Roman" w:hAnsi="Times New Roman" w:cs="Times New Roman"/>
        </w:rPr>
        <w:t>at least one year</w:t>
      </w:r>
      <w:r w:rsidR="00607031" w:rsidRPr="00607031">
        <w:rPr>
          <w:rFonts w:ascii="Times New Roman" w:hAnsi="Times New Roman" w:cs="Times New Roman"/>
        </w:rPr>
        <w:t xml:space="preserve">, any amount </w:t>
      </w:r>
      <w:r w:rsidR="00607031">
        <w:rPr>
          <w:rFonts w:ascii="Times New Roman" w:hAnsi="Times New Roman" w:cs="Times New Roman"/>
        </w:rPr>
        <w:lastRenderedPageBreak/>
        <w:t xml:space="preserve">treated as a dividend under Code Sec. 1248 is treated as </w:t>
      </w:r>
      <w:r w:rsidR="00607031" w:rsidRPr="00607031">
        <w:rPr>
          <w:rFonts w:ascii="Times New Roman" w:hAnsi="Times New Roman" w:cs="Times New Roman"/>
        </w:rPr>
        <w:t>a dividend for purposes of</w:t>
      </w:r>
      <w:r w:rsidR="00607031">
        <w:rPr>
          <w:rFonts w:ascii="Times New Roman" w:hAnsi="Times New Roman" w:cs="Times New Roman"/>
        </w:rPr>
        <w:t xml:space="preserve"> Code Sec. 245A.</w:t>
      </w:r>
      <w:r w:rsidR="00607031">
        <w:rPr>
          <w:rStyle w:val="FootnoteReference"/>
          <w:rFonts w:ascii="Times New Roman" w:hAnsi="Times New Roman" w:cs="Times New Roman"/>
        </w:rPr>
        <w:footnoteReference w:id="143"/>
      </w:r>
    </w:p>
    <w:p w14:paraId="1C391637" w14:textId="0F2E3CB5" w:rsidR="00C42DEC" w:rsidRDefault="00C42DEC" w:rsidP="0096648D">
      <w:pPr>
        <w:widowControl w:val="0"/>
        <w:spacing w:after="240" w:line="240" w:lineRule="auto"/>
        <w:rPr>
          <w:rFonts w:ascii="Times New Roman" w:hAnsi="Times New Roman" w:cs="Times New Roman"/>
        </w:rPr>
      </w:pPr>
      <w:r>
        <w:rPr>
          <w:rFonts w:ascii="Times New Roman" w:hAnsi="Times New Roman" w:cs="Times New Roman"/>
        </w:rPr>
        <w:t>The foreign-source portion of a dividend is equal to the amount of the dividend multiplied by a fraction, the numerator of which is the undistributed foreign earnings of the SFC and the denominator of which is the undistributed earnings of the SFC.</w:t>
      </w:r>
      <w:r>
        <w:rPr>
          <w:rStyle w:val="FootnoteReference"/>
          <w:rFonts w:ascii="Times New Roman" w:hAnsi="Times New Roman" w:cs="Times New Roman"/>
        </w:rPr>
        <w:footnoteReference w:id="144"/>
      </w:r>
      <w:r>
        <w:rPr>
          <w:rFonts w:ascii="Times New Roman" w:hAnsi="Times New Roman" w:cs="Times New Roman"/>
        </w:rPr>
        <w:t xml:space="preserve"> The undistributed foreign earnings are the undistributed earnings of the SFC that are not attributable to </w:t>
      </w:r>
      <w:r w:rsidRPr="00D37CBD">
        <w:rPr>
          <w:rFonts w:ascii="Times New Roman" w:hAnsi="Times New Roman" w:cs="Times New Roman"/>
        </w:rPr>
        <w:t>ECI</w:t>
      </w:r>
      <w:r>
        <w:rPr>
          <w:rFonts w:ascii="Times New Roman" w:hAnsi="Times New Roman" w:cs="Times New Roman"/>
        </w:rPr>
        <w:t xml:space="preserve"> or dividends from 80-percent owned domestic corporations, including regulated investment companies (“</w:t>
      </w:r>
      <w:r w:rsidRPr="00D37CBD">
        <w:rPr>
          <w:rFonts w:ascii="Times New Roman" w:hAnsi="Times New Roman" w:cs="Times New Roman"/>
          <w:b/>
        </w:rPr>
        <w:t>RIC</w:t>
      </w:r>
      <w:r>
        <w:rPr>
          <w:rFonts w:ascii="Times New Roman" w:hAnsi="Times New Roman" w:cs="Times New Roman"/>
        </w:rPr>
        <w:t>”) or real estate investment trusts (“</w:t>
      </w:r>
      <w:r w:rsidRPr="00D37CBD">
        <w:rPr>
          <w:rFonts w:ascii="Times New Roman" w:hAnsi="Times New Roman" w:cs="Times New Roman"/>
          <w:b/>
        </w:rPr>
        <w:t>REIT</w:t>
      </w:r>
      <w:r>
        <w:rPr>
          <w:rFonts w:ascii="Times New Roman" w:hAnsi="Times New Roman" w:cs="Times New Roman"/>
        </w:rPr>
        <w:t>”).</w:t>
      </w:r>
      <w:r>
        <w:rPr>
          <w:rStyle w:val="FootnoteReference"/>
          <w:rFonts w:ascii="Times New Roman" w:hAnsi="Times New Roman" w:cs="Times New Roman"/>
        </w:rPr>
        <w:footnoteReference w:id="145"/>
      </w:r>
      <w:r>
        <w:rPr>
          <w:rFonts w:ascii="Times New Roman" w:hAnsi="Times New Roman" w:cs="Times New Roman"/>
        </w:rPr>
        <w:t xml:space="preserve"> The undistributed earnings of an SFC are the E&amp;P of the SFC (computed in accordance with Code Sec. 964(a) and Code Sec. 986) as of the close of the year, unreduced by dividends during the year.</w:t>
      </w:r>
      <w:r>
        <w:rPr>
          <w:rStyle w:val="FootnoteReference"/>
          <w:rFonts w:ascii="Times New Roman" w:hAnsi="Times New Roman" w:cs="Times New Roman"/>
        </w:rPr>
        <w:footnoteReference w:id="146"/>
      </w:r>
      <w:r>
        <w:rPr>
          <w:rFonts w:ascii="Times New Roman" w:hAnsi="Times New Roman" w:cs="Times New Roman"/>
        </w:rPr>
        <w:t xml:space="preserve"> Dividends out of undistributed earnings attributable to ECI or from 80-percent owned domestic corporations, excluding RICs and REITs (“</w:t>
      </w:r>
      <w:r w:rsidRPr="005F3E8E">
        <w:rPr>
          <w:rFonts w:ascii="Times New Roman" w:hAnsi="Times New Roman" w:cs="Times New Roman"/>
          <w:b/>
        </w:rPr>
        <w:t>undistributed U.S. earnings</w:t>
      </w:r>
      <w:r>
        <w:rPr>
          <w:rFonts w:ascii="Times New Roman" w:hAnsi="Times New Roman" w:cs="Times New Roman"/>
        </w:rPr>
        <w:t>”), may be allowed a DRD under Code Sec. 245(a) (a “</w:t>
      </w:r>
      <w:r w:rsidRPr="005F3E8E">
        <w:rPr>
          <w:rFonts w:ascii="Times New Roman" w:hAnsi="Times New Roman" w:cs="Times New Roman"/>
          <w:b/>
        </w:rPr>
        <w:t>Section 245(a) DRD</w:t>
      </w:r>
      <w:r>
        <w:rPr>
          <w:rFonts w:ascii="Times New Roman" w:hAnsi="Times New Roman" w:cs="Times New Roman"/>
        </w:rPr>
        <w:t>”) equal to the percent specified in Code Sec. 243.</w:t>
      </w:r>
      <w:r>
        <w:rPr>
          <w:rStyle w:val="FootnoteReference"/>
          <w:rFonts w:ascii="Times New Roman" w:hAnsi="Times New Roman" w:cs="Times New Roman"/>
        </w:rPr>
        <w:footnoteReference w:id="147"/>
      </w:r>
      <w:r>
        <w:rPr>
          <w:rFonts w:ascii="Times New Roman" w:hAnsi="Times New Roman" w:cs="Times New Roman"/>
        </w:rPr>
        <w:t xml:space="preserve"> However, no Section 245(a) DRD may be received for dividends to the extent treated out of pre-acquisition E&amp;P.</w:t>
      </w:r>
      <w:r>
        <w:rPr>
          <w:rStyle w:val="FootnoteReference"/>
          <w:rFonts w:ascii="Times New Roman" w:hAnsi="Times New Roman" w:cs="Times New Roman"/>
        </w:rPr>
        <w:footnoteReference w:id="148"/>
      </w:r>
    </w:p>
    <w:p w14:paraId="7263ED63" w14:textId="3760619E" w:rsidR="004A0BE1" w:rsidRDefault="004A0BE1" w:rsidP="0096648D">
      <w:pPr>
        <w:widowControl w:val="0"/>
        <w:spacing w:after="240" w:line="240" w:lineRule="auto"/>
        <w:rPr>
          <w:rFonts w:ascii="Times New Roman" w:hAnsi="Times New Roman" w:cs="Times New Roman"/>
        </w:rPr>
      </w:pPr>
      <w:r>
        <w:rPr>
          <w:rFonts w:ascii="Times New Roman" w:hAnsi="Times New Roman" w:cs="Times New Roman"/>
        </w:rPr>
        <w:t xml:space="preserve">There are several provisions that may disallow the 245A DRD or, at least, eliminate the tax benefit of the 245A DRD, in whole or in part. Each of these provisions are discussed in turn below. </w:t>
      </w:r>
    </w:p>
    <w:p w14:paraId="3CAB0F19" w14:textId="38186296" w:rsidR="004241C0" w:rsidRPr="004A0BE1" w:rsidRDefault="004A0BE1" w:rsidP="0018066D">
      <w:pPr>
        <w:pStyle w:val="Heading6"/>
        <w:contextualSpacing w:val="0"/>
        <w:rPr>
          <w:sz w:val="22"/>
          <w:szCs w:val="22"/>
        </w:rPr>
      </w:pPr>
      <w:r>
        <w:rPr>
          <w:sz w:val="22"/>
          <w:szCs w:val="22"/>
        </w:rPr>
        <w:t>245A h</w:t>
      </w:r>
      <w:r w:rsidR="004241C0" w:rsidRPr="004A0BE1">
        <w:rPr>
          <w:sz w:val="22"/>
          <w:szCs w:val="22"/>
        </w:rPr>
        <w:t>olding period requirement</w:t>
      </w:r>
    </w:p>
    <w:p w14:paraId="551606C2" w14:textId="49080378" w:rsidR="00C42DEC" w:rsidRDefault="004A0BE1" w:rsidP="0096648D">
      <w:pPr>
        <w:widowControl w:val="0"/>
        <w:spacing w:after="240" w:line="240" w:lineRule="auto"/>
        <w:rPr>
          <w:rFonts w:ascii="Times New Roman" w:hAnsi="Times New Roman" w:cs="Times New Roman"/>
        </w:rPr>
      </w:pPr>
      <w:r>
        <w:rPr>
          <w:rFonts w:ascii="Times New Roman" w:hAnsi="Times New Roman" w:cs="Times New Roman"/>
        </w:rPr>
        <w:t>A</w:t>
      </w:r>
      <w:r w:rsidR="00C42DEC">
        <w:rPr>
          <w:rFonts w:ascii="Times New Roman" w:hAnsi="Times New Roman" w:cs="Times New Roman"/>
        </w:rPr>
        <w:t xml:space="preserve"> 245A DRD is not allowed for any dividend on any share of stock if the 245A shareholder does not meet the holding period requirement in Code Sec. 246(c)(5) (“</w:t>
      </w:r>
      <w:r w:rsidR="00C42DEC" w:rsidRPr="00C85FD0">
        <w:rPr>
          <w:rFonts w:ascii="Times New Roman" w:hAnsi="Times New Roman" w:cs="Times New Roman"/>
          <w:b/>
        </w:rPr>
        <w:t>245A holding period requirement</w:t>
      </w:r>
      <w:r w:rsidR="00C42DEC">
        <w:rPr>
          <w:rFonts w:ascii="Times New Roman" w:hAnsi="Times New Roman" w:cs="Times New Roman"/>
        </w:rPr>
        <w:t>”). The 245A holding period requirement is satisfied with respect to a share if the taxpayer holds such share for 366 days during the 731-day period beginning on the date which is 365 days before the date on which such share becomes ex-dividend with respect to such dividend.</w:t>
      </w:r>
      <w:r w:rsidR="00C42DEC">
        <w:rPr>
          <w:rStyle w:val="FootnoteReference"/>
          <w:rFonts w:ascii="Times New Roman" w:hAnsi="Times New Roman" w:cs="Times New Roman"/>
        </w:rPr>
        <w:footnoteReference w:id="149"/>
      </w:r>
      <w:r w:rsidR="00C42DEC">
        <w:rPr>
          <w:rFonts w:ascii="Times New Roman" w:hAnsi="Times New Roman" w:cs="Times New Roman"/>
        </w:rPr>
        <w:t xml:space="preserve"> For purposes of the 245A holding period requirement, a taxpayer is treated as holding stock for any period only if the distributing corporation is an SFC at all times during such period and the taxpayer is a U.S. shareholder with respect to the SFC at all times during such period.</w:t>
      </w:r>
      <w:r w:rsidR="00C42DEC">
        <w:rPr>
          <w:rStyle w:val="FootnoteReference"/>
          <w:rFonts w:ascii="Times New Roman" w:hAnsi="Times New Roman" w:cs="Times New Roman"/>
        </w:rPr>
        <w:footnoteReference w:id="150"/>
      </w:r>
      <w:r w:rsidR="00C42DEC">
        <w:rPr>
          <w:rFonts w:ascii="Times New Roman" w:hAnsi="Times New Roman" w:cs="Times New Roman"/>
        </w:rPr>
        <w:t xml:space="preserve"> The taxpayer’s holding period with respect to the stock includes the period during which the taxpayer is treated as holding the stock under Code Sec. 1223(2) or Code Sec. 1223(3) (</w:t>
      </w:r>
      <w:r w:rsidR="00C42DEC" w:rsidRPr="006F3655">
        <w:rPr>
          <w:rFonts w:ascii="Times New Roman" w:hAnsi="Times New Roman" w:cs="Times New Roman"/>
          <w:i/>
        </w:rPr>
        <w:t>i.e.</w:t>
      </w:r>
      <w:r w:rsidR="00C42DEC">
        <w:rPr>
          <w:rFonts w:ascii="Times New Roman" w:hAnsi="Times New Roman" w:cs="Times New Roman"/>
        </w:rPr>
        <w:t>, a tacked holding period).</w:t>
      </w:r>
      <w:r w:rsidR="00C42DEC">
        <w:rPr>
          <w:rStyle w:val="FootnoteReference"/>
          <w:rFonts w:ascii="Times New Roman" w:hAnsi="Times New Roman" w:cs="Times New Roman"/>
        </w:rPr>
        <w:footnoteReference w:id="151"/>
      </w:r>
      <w:r w:rsidR="00C42DEC">
        <w:rPr>
          <w:rFonts w:ascii="Times New Roman" w:hAnsi="Times New Roman" w:cs="Times New Roman"/>
        </w:rPr>
        <w:t xml:space="preserve"> However, there is no rule that would “tack” status as a U.S. shareholder during the relevant period, for instance, in the case where a domestic corporation </w:t>
      </w:r>
      <w:r w:rsidR="00C42DEC">
        <w:rPr>
          <w:rFonts w:ascii="Times New Roman" w:hAnsi="Times New Roman" w:cs="Times New Roman"/>
        </w:rPr>
        <w:lastRenderedPageBreak/>
        <w:t>acquires shares of a foreign corporation from a shareholder in an inbound nonrecognition transaction.</w:t>
      </w:r>
    </w:p>
    <w:p w14:paraId="056F9F61" w14:textId="5E3E43FD" w:rsidR="000C51AF" w:rsidRPr="003F61EF" w:rsidRDefault="000C51AF" w:rsidP="0018066D">
      <w:pPr>
        <w:pStyle w:val="Heading6"/>
        <w:contextualSpacing w:val="0"/>
      </w:pPr>
      <w:r w:rsidRPr="008C4216">
        <w:rPr>
          <w:sz w:val="22"/>
          <w:szCs w:val="22"/>
        </w:rPr>
        <w:t>Hybrid dividends</w:t>
      </w:r>
    </w:p>
    <w:p w14:paraId="490E24F5" w14:textId="0827A200" w:rsidR="00C42DEC" w:rsidRPr="00A93728" w:rsidRDefault="00C42DEC" w:rsidP="0096648D">
      <w:pPr>
        <w:widowControl w:val="0"/>
        <w:spacing w:after="240" w:line="240" w:lineRule="auto"/>
        <w:rPr>
          <w:rFonts w:ascii="Times New Roman" w:hAnsi="Times New Roman" w:cs="Times New Roman"/>
        </w:rPr>
      </w:pPr>
      <w:r>
        <w:rPr>
          <w:rFonts w:ascii="Times New Roman" w:hAnsi="Times New Roman" w:cs="Times New Roman"/>
        </w:rPr>
        <w:t>In addition, no 245A DRD is allowed with respect to a hybrid dividend under Code Sec. 245A(e). A hybrid dividend is defined as the amount of a dividend paid that would otherwise qualify for the 245A DRD to the extent of the 245A shareholder’s hybrid deduction account (“</w:t>
      </w:r>
      <w:r w:rsidRPr="00736E6D">
        <w:rPr>
          <w:rFonts w:ascii="Times New Roman" w:hAnsi="Times New Roman" w:cs="Times New Roman"/>
          <w:b/>
        </w:rPr>
        <w:t>HDA</w:t>
      </w:r>
      <w:r>
        <w:rPr>
          <w:rFonts w:ascii="Times New Roman" w:hAnsi="Times New Roman" w:cs="Times New Roman"/>
        </w:rPr>
        <w:t>”) with respect to each share of stock of the CFC, determined at the close of the CFC’s taxable year.</w:t>
      </w:r>
      <w:r>
        <w:rPr>
          <w:rStyle w:val="FootnoteReference"/>
          <w:rFonts w:ascii="Times New Roman" w:hAnsi="Times New Roman" w:cs="Times New Roman"/>
        </w:rPr>
        <w:footnoteReference w:id="152"/>
      </w:r>
      <w:r>
        <w:rPr>
          <w:rFonts w:ascii="Times New Roman" w:hAnsi="Times New Roman" w:cs="Times New Roman"/>
        </w:rPr>
        <w:t xml:space="preserve"> An HDA reflects the amount of hybrid deductions</w:t>
      </w:r>
      <w:r w:rsidR="008C4216">
        <w:rPr>
          <w:rStyle w:val="FootnoteReference"/>
          <w:rFonts w:ascii="Times New Roman" w:hAnsi="Times New Roman" w:cs="Times New Roman"/>
        </w:rPr>
        <w:footnoteReference w:id="153"/>
      </w:r>
      <w:r>
        <w:rPr>
          <w:rFonts w:ascii="Times New Roman" w:hAnsi="Times New Roman" w:cs="Times New Roman"/>
        </w:rPr>
        <w:t xml:space="preserve"> of the CFC allocated to a share that must be maintained by a specified owner with respect to such share.</w:t>
      </w:r>
      <w:r>
        <w:rPr>
          <w:rStyle w:val="FootnoteReference"/>
          <w:rFonts w:ascii="Times New Roman" w:hAnsi="Times New Roman" w:cs="Times New Roman"/>
        </w:rPr>
        <w:footnoteReference w:id="154"/>
      </w:r>
      <w:r>
        <w:rPr>
          <w:rFonts w:ascii="Times New Roman" w:hAnsi="Times New Roman" w:cs="Times New Roman"/>
        </w:rPr>
        <w:t xml:space="preserve"> In general, a “</w:t>
      </w:r>
      <w:r w:rsidRPr="00AE2F3B">
        <w:rPr>
          <w:rFonts w:ascii="Times New Roman" w:hAnsi="Times New Roman" w:cs="Times New Roman"/>
          <w:b/>
          <w:bCs/>
        </w:rPr>
        <w:t>specified owner</w:t>
      </w:r>
      <w:r>
        <w:rPr>
          <w:rFonts w:ascii="Times New Roman" w:hAnsi="Times New Roman" w:cs="Times New Roman"/>
        </w:rPr>
        <w:t>” with respect to a share of CFC stock is a 245A shareholder of the CFC or an upper-tier CFC that would be a 245A shareholder if the upper-tier CFC were a domestic corporation, provided that a 245A shareholder owns (within the meaning of Code Sec. 958(a)) shares in the upper-tier CFC.</w:t>
      </w:r>
      <w:r>
        <w:rPr>
          <w:rStyle w:val="FootnoteReference"/>
          <w:rFonts w:ascii="Times New Roman" w:hAnsi="Times New Roman" w:cs="Times New Roman"/>
        </w:rPr>
        <w:footnoteReference w:id="155"/>
      </w:r>
      <w:r>
        <w:rPr>
          <w:rFonts w:ascii="Times New Roman" w:hAnsi="Times New Roman" w:cs="Times New Roman"/>
        </w:rPr>
        <w:t xml:space="preserve"> If a share of CFC stock with respect to which there is an HDA is acquired, rules apply based on whether the acquirer is a specified owner. In the case of an acquirer that is a specified owner of the share immediately after the acquisition, the transferor’s HDA with respect to the share becomes the HDA of the acquirer.</w:t>
      </w:r>
      <w:r>
        <w:rPr>
          <w:rStyle w:val="FootnoteReference"/>
          <w:rFonts w:ascii="Times New Roman" w:hAnsi="Times New Roman" w:cs="Times New Roman"/>
        </w:rPr>
        <w:footnoteReference w:id="156"/>
      </w:r>
      <w:r>
        <w:rPr>
          <w:rFonts w:ascii="Times New Roman" w:hAnsi="Times New Roman" w:cs="Times New Roman"/>
        </w:rPr>
        <w:t xml:space="preserve"> In the case of an acquirer that is not a specified owner of the share immediately after the acquisition, the transferor’s HDA is eliminated and accordingly is not thereafter taken into account by any person.</w:t>
      </w:r>
      <w:r>
        <w:rPr>
          <w:rStyle w:val="FootnoteReference"/>
          <w:rFonts w:ascii="Times New Roman" w:hAnsi="Times New Roman" w:cs="Times New Roman"/>
        </w:rPr>
        <w:footnoteReference w:id="157"/>
      </w:r>
    </w:p>
    <w:p w14:paraId="7C612154" w14:textId="7E5EC28C" w:rsidR="000C51AF" w:rsidRPr="003F61EF" w:rsidRDefault="003609A4" w:rsidP="0018066D">
      <w:pPr>
        <w:pStyle w:val="Heading6"/>
        <w:contextualSpacing w:val="0"/>
      </w:pPr>
      <w:r w:rsidRPr="00057E71">
        <w:rPr>
          <w:sz w:val="22"/>
          <w:szCs w:val="22"/>
        </w:rPr>
        <w:t>Extraordinary disposition amounts</w:t>
      </w:r>
    </w:p>
    <w:p w14:paraId="3EAC94BC" w14:textId="6A129C03" w:rsidR="00C42DEC" w:rsidRPr="00A93728" w:rsidRDefault="00C42DEC" w:rsidP="0096648D">
      <w:pPr>
        <w:widowControl w:val="0"/>
        <w:spacing w:after="240" w:line="240" w:lineRule="auto"/>
        <w:rPr>
          <w:rFonts w:ascii="Times New Roman" w:hAnsi="Times New Roman" w:cs="Times New Roman"/>
        </w:rPr>
      </w:pPr>
      <w:r>
        <w:rPr>
          <w:rFonts w:ascii="Times New Roman" w:hAnsi="Times New Roman" w:cs="Times New Roman"/>
        </w:rPr>
        <w:t>Reg. §1.245A-5 further limits the 245A DRD by disallowing 50</w:t>
      </w:r>
      <w:r w:rsidR="00D600DF">
        <w:rPr>
          <w:rFonts w:ascii="Times New Roman" w:hAnsi="Times New Roman" w:cs="Times New Roman"/>
        </w:rPr>
        <w:t xml:space="preserve"> </w:t>
      </w:r>
      <w:r>
        <w:rPr>
          <w:rFonts w:ascii="Times New Roman" w:hAnsi="Times New Roman" w:cs="Times New Roman"/>
        </w:rPr>
        <w:t>percent of the 245A DRD with respect to a dividend from an SFC to the extent of the extraordinary disposition (“</w:t>
      </w:r>
      <w:r w:rsidRPr="00A02C75">
        <w:rPr>
          <w:rFonts w:ascii="Times New Roman" w:hAnsi="Times New Roman" w:cs="Times New Roman"/>
          <w:b/>
          <w:bCs/>
        </w:rPr>
        <w:t>ED</w:t>
      </w:r>
      <w:r>
        <w:rPr>
          <w:rFonts w:ascii="Times New Roman" w:hAnsi="Times New Roman" w:cs="Times New Roman"/>
        </w:rPr>
        <w:t>”) amount of such dividend.</w:t>
      </w:r>
      <w:r w:rsidR="00B61DFA">
        <w:rPr>
          <w:rStyle w:val="FootnoteReference"/>
          <w:rFonts w:ascii="Times New Roman" w:hAnsi="Times New Roman" w:cs="Times New Roman"/>
        </w:rPr>
        <w:footnoteReference w:id="158"/>
      </w:r>
      <w:r>
        <w:rPr>
          <w:rFonts w:ascii="Times New Roman" w:hAnsi="Times New Roman" w:cs="Times New Roman"/>
        </w:rPr>
        <w:t xml:space="preserve"> The ED amount is the amount of the dividend paid out of ED E&amp;P, which is the sum of the net gain recognized by an SFC with respect to specified property in each ED.</w:t>
      </w:r>
      <w:r>
        <w:rPr>
          <w:rStyle w:val="FootnoteReference"/>
          <w:rFonts w:ascii="Times New Roman" w:hAnsi="Times New Roman" w:cs="Times New Roman"/>
        </w:rPr>
        <w:footnoteReference w:id="159"/>
      </w:r>
      <w:r>
        <w:rPr>
          <w:rFonts w:ascii="Times New Roman" w:hAnsi="Times New Roman" w:cs="Times New Roman"/>
        </w:rPr>
        <w:t xml:space="preserve"> An “ED” is a disposition of property during the disqualified period of an SFC that is a CFC at the time of the disposition. The disqualified period is the period beginning on January 1, 2018, and ending as of the close of the taxable year of the SFC, if any, that begins before January 1, 2018, and ends after December 31, 2017.</w:t>
      </w:r>
      <w:r>
        <w:rPr>
          <w:rStyle w:val="FootnoteReference"/>
          <w:rFonts w:ascii="Times New Roman" w:hAnsi="Times New Roman" w:cs="Times New Roman"/>
        </w:rPr>
        <w:footnoteReference w:id="160"/>
      </w:r>
      <w:r>
        <w:rPr>
          <w:rFonts w:ascii="Times New Roman" w:hAnsi="Times New Roman" w:cs="Times New Roman"/>
        </w:rPr>
        <w:t xml:space="preserve"> A dividend is treated as paid out of ED E&amp;P to the extent it is treated as paid out of a U.S. shareholder’s ED account (“</w:t>
      </w:r>
      <w:r w:rsidRPr="006F3655">
        <w:rPr>
          <w:rFonts w:ascii="Times New Roman" w:hAnsi="Times New Roman" w:cs="Times New Roman"/>
          <w:b/>
        </w:rPr>
        <w:t>EDA</w:t>
      </w:r>
      <w:r>
        <w:rPr>
          <w:rFonts w:ascii="Times New Roman" w:hAnsi="Times New Roman" w:cs="Times New Roman"/>
        </w:rPr>
        <w:t>”) with respect to an SFC. The EDA generally reflects the amount, at the level of the SFC, of the U.S. shareholder’s share of the ED E&amp;P, reduced by amounts already treated as ED amounts.</w:t>
      </w:r>
      <w:r>
        <w:rPr>
          <w:rStyle w:val="FootnoteReference"/>
          <w:rFonts w:ascii="Times New Roman" w:hAnsi="Times New Roman" w:cs="Times New Roman"/>
        </w:rPr>
        <w:footnoteReference w:id="161"/>
      </w:r>
      <w:r>
        <w:rPr>
          <w:rFonts w:ascii="Times New Roman" w:hAnsi="Times New Roman" w:cs="Times New Roman"/>
        </w:rPr>
        <w:t xml:space="preserve"> In </w:t>
      </w:r>
      <w:r>
        <w:rPr>
          <w:rFonts w:ascii="Times New Roman" w:hAnsi="Times New Roman" w:cs="Times New Roman"/>
        </w:rPr>
        <w:lastRenderedPageBreak/>
        <w:t>determining the portion of a dividend that is from the 245A shareholder’s EDA, dividends paid out of Code Sec. 959(c)(3) E&amp;P in excess of the EDA are deemed to be paid first (</w:t>
      </w:r>
      <w:r w:rsidRPr="003F37B8">
        <w:rPr>
          <w:rFonts w:ascii="Times New Roman" w:hAnsi="Times New Roman" w:cs="Times New Roman"/>
          <w:i/>
        </w:rPr>
        <w:t>i.e.</w:t>
      </w:r>
      <w:r>
        <w:rPr>
          <w:rFonts w:ascii="Times New Roman" w:hAnsi="Times New Roman" w:cs="Times New Roman"/>
        </w:rPr>
        <w:t>, distributions out of EDA are deemed paid last). If a U.S. shareholder transfers shares of an SFC with respect to which the shareholder has an EDA and the acquirer is a 245A shareholder with respect to the SFC immediately after the acquisition, the transferor’s EDA is decreased by the amount of the EDA allocated to the transferred shares. If an acquirer is not a 245A shareholder with respect to the SFC immediately after the acquisition, and the transferor transfers all of the stock of the SFC and no related party of the transferor is a 245A shareholder after the acquisition and related transaction, the transferor’s EDA is eliminated. If an acquirer is not 245A shareholder immediately after the acquisition and the transferor only transfers a portion of the stock of the SFC, the entire EDA remains with the transferor.</w:t>
      </w:r>
      <w:r>
        <w:rPr>
          <w:rStyle w:val="FootnoteReference"/>
          <w:rFonts w:ascii="Times New Roman" w:hAnsi="Times New Roman" w:cs="Times New Roman"/>
        </w:rPr>
        <w:footnoteReference w:id="162"/>
      </w:r>
      <w:r>
        <w:rPr>
          <w:rFonts w:ascii="Times New Roman" w:hAnsi="Times New Roman" w:cs="Times New Roman"/>
        </w:rPr>
        <w:t xml:space="preserve"> </w:t>
      </w:r>
    </w:p>
    <w:p w14:paraId="62AD205E" w14:textId="696A6A4A" w:rsidR="004A0BE1" w:rsidRPr="004A0BE1" w:rsidRDefault="004A0BE1" w:rsidP="0018066D">
      <w:pPr>
        <w:pStyle w:val="Heading6"/>
        <w:contextualSpacing w:val="0"/>
      </w:pPr>
      <w:r w:rsidRPr="004A0BE1">
        <w:t xml:space="preserve">Code Sec. </w:t>
      </w:r>
      <w:r w:rsidR="003D6582">
        <w:t>1059</w:t>
      </w:r>
    </w:p>
    <w:p w14:paraId="191A83FA" w14:textId="6C463822" w:rsidR="00C42DEC" w:rsidRDefault="00C42DEC" w:rsidP="0096648D">
      <w:pPr>
        <w:widowControl w:val="0"/>
        <w:spacing w:after="240" w:line="240" w:lineRule="auto"/>
        <w:rPr>
          <w:rFonts w:ascii="Times New Roman" w:hAnsi="Times New Roman" w:cs="Times New Roman"/>
        </w:rPr>
      </w:pPr>
      <w:r>
        <w:rPr>
          <w:rFonts w:ascii="Times New Roman" w:hAnsi="Times New Roman" w:cs="Times New Roman"/>
        </w:rPr>
        <w:t xml:space="preserve">Code Sec. 1059 </w:t>
      </w:r>
      <w:r w:rsidR="000F39AD">
        <w:rPr>
          <w:rFonts w:ascii="Times New Roman" w:hAnsi="Times New Roman" w:cs="Times New Roman"/>
        </w:rPr>
        <w:t>pre-dates TCJ</w:t>
      </w:r>
      <w:r w:rsidR="00C25E22">
        <w:rPr>
          <w:rFonts w:ascii="Times New Roman" w:hAnsi="Times New Roman" w:cs="Times New Roman"/>
        </w:rPr>
        <w:t>A</w:t>
      </w:r>
      <w:r w:rsidR="000F39AD">
        <w:rPr>
          <w:rFonts w:ascii="Times New Roman" w:hAnsi="Times New Roman" w:cs="Times New Roman"/>
        </w:rPr>
        <w:t xml:space="preserve">, but was amended by the TCJA to apply to </w:t>
      </w:r>
      <w:r w:rsidR="00AE0D43">
        <w:rPr>
          <w:rFonts w:ascii="Times New Roman" w:hAnsi="Times New Roman" w:cs="Times New Roman"/>
        </w:rPr>
        <w:t xml:space="preserve">dividends afforded a 245A DRD. Code Sec. 1059 </w:t>
      </w:r>
      <w:r>
        <w:rPr>
          <w:rFonts w:ascii="Times New Roman" w:hAnsi="Times New Roman" w:cs="Times New Roman"/>
        </w:rPr>
        <w:t>provides that, if a 245A shareholder receives an extraordinary dividend with respect to a share of SFC stock and the shareholder has not held the SFC stock for more than two years before the dividend announcement date (the “</w:t>
      </w:r>
      <w:r w:rsidRPr="00E95140">
        <w:rPr>
          <w:rFonts w:ascii="Times New Roman" w:hAnsi="Times New Roman" w:cs="Times New Roman"/>
          <w:b/>
          <w:bCs/>
        </w:rPr>
        <w:t>1059 holding period requirement</w:t>
      </w:r>
      <w:r>
        <w:rPr>
          <w:rFonts w:ascii="Times New Roman" w:hAnsi="Times New Roman" w:cs="Times New Roman"/>
        </w:rPr>
        <w:t>”), the basis of the share is reduced (but not below zero) by the nontaxed portion of the extraordinary dividend and gain is recognized to the extent the nontaxed portion exceeds basis. The holding period requirement can be satisfied by taking into account carryover and tacked holding periods under Code Sec. 1223(1) and Code Sec. 1223(2), respectively. In general, a dividend from an SFC is an “extraordinary dividend” if the amount of the dividend is equal to or exceeds five percent (in the case of preferred stock) or ten percent (in the case of common stock) of the 245A shareholder’s basis in the share of SFC stock with respect to which the dividend is paid.</w:t>
      </w:r>
      <w:r>
        <w:rPr>
          <w:rStyle w:val="FootnoteReference"/>
          <w:rFonts w:ascii="Times New Roman" w:hAnsi="Times New Roman" w:cs="Times New Roman"/>
        </w:rPr>
        <w:footnoteReference w:id="163"/>
      </w:r>
      <w:r>
        <w:rPr>
          <w:rFonts w:ascii="Times New Roman" w:hAnsi="Times New Roman" w:cs="Times New Roman"/>
        </w:rPr>
        <w:t xml:space="preserve"> The “</w:t>
      </w:r>
      <w:r w:rsidRPr="00524109">
        <w:rPr>
          <w:rFonts w:ascii="Times New Roman" w:hAnsi="Times New Roman" w:cs="Times New Roman"/>
        </w:rPr>
        <w:t>nontaxed portion</w:t>
      </w:r>
      <w:r>
        <w:rPr>
          <w:rFonts w:ascii="Times New Roman" w:hAnsi="Times New Roman" w:cs="Times New Roman"/>
        </w:rPr>
        <w:t>”</w:t>
      </w:r>
      <w:r w:rsidRPr="00524109">
        <w:rPr>
          <w:rFonts w:ascii="Times New Roman" w:hAnsi="Times New Roman" w:cs="Times New Roman"/>
        </w:rPr>
        <w:t xml:space="preserve"> of an extraordinary dividend equals the excess, if any, of the amount of the dividend, over the taxable portion of that dividend.</w:t>
      </w:r>
      <w:r w:rsidRPr="00524109">
        <w:rPr>
          <w:rFonts w:ascii="Times New Roman" w:hAnsi="Times New Roman" w:cs="Times New Roman"/>
          <w:vertAlign w:val="superscript"/>
        </w:rPr>
        <w:footnoteReference w:id="164"/>
      </w:r>
      <w:r w:rsidRPr="00524109">
        <w:rPr>
          <w:rFonts w:ascii="Times New Roman" w:hAnsi="Times New Roman" w:cs="Times New Roman"/>
        </w:rPr>
        <w:t xml:space="preserve"> The </w:t>
      </w:r>
      <w:r>
        <w:rPr>
          <w:rFonts w:ascii="Times New Roman" w:hAnsi="Times New Roman" w:cs="Times New Roman"/>
        </w:rPr>
        <w:t>“</w:t>
      </w:r>
      <w:r w:rsidRPr="00524109">
        <w:rPr>
          <w:rFonts w:ascii="Times New Roman" w:hAnsi="Times New Roman" w:cs="Times New Roman"/>
        </w:rPr>
        <w:t>taxable portion</w:t>
      </w:r>
      <w:r>
        <w:rPr>
          <w:rFonts w:ascii="Times New Roman" w:hAnsi="Times New Roman" w:cs="Times New Roman"/>
        </w:rPr>
        <w:t>”</w:t>
      </w:r>
      <w:r w:rsidRPr="00524109">
        <w:rPr>
          <w:rFonts w:ascii="Times New Roman" w:hAnsi="Times New Roman" w:cs="Times New Roman"/>
        </w:rPr>
        <w:t xml:space="preserve"> of an extraordinary dividend is the portion of such dividend includible in gross income, reduced by the amount of any deduction allowable with respect to such dividend under </w:t>
      </w:r>
      <w:r>
        <w:rPr>
          <w:rFonts w:ascii="Times New Roman" w:hAnsi="Times New Roman" w:cs="Times New Roman"/>
        </w:rPr>
        <w:t>Code Secs.</w:t>
      </w:r>
      <w:r w:rsidRPr="00524109">
        <w:rPr>
          <w:rFonts w:ascii="Times New Roman" w:hAnsi="Times New Roman" w:cs="Times New Roman"/>
        </w:rPr>
        <w:t xml:space="preserve"> 243, 245, or 245A.</w:t>
      </w:r>
      <w:r w:rsidRPr="00524109">
        <w:rPr>
          <w:rFonts w:ascii="Times New Roman" w:hAnsi="Times New Roman" w:cs="Times New Roman"/>
          <w:vertAlign w:val="superscript"/>
        </w:rPr>
        <w:footnoteReference w:id="165"/>
      </w:r>
      <w:r w:rsidRPr="00524109">
        <w:rPr>
          <w:rFonts w:ascii="Times New Roman" w:hAnsi="Times New Roman" w:cs="Times New Roman"/>
        </w:rPr>
        <w:t xml:space="preserve"> </w:t>
      </w:r>
      <w:r w:rsidRPr="006E5796">
        <w:rPr>
          <w:rFonts w:ascii="Times New Roman" w:hAnsi="Times New Roman" w:cs="Times New Roman"/>
        </w:rPr>
        <w:t xml:space="preserve">Under </w:t>
      </w:r>
      <w:r>
        <w:rPr>
          <w:rFonts w:ascii="Times New Roman" w:hAnsi="Times New Roman" w:cs="Times New Roman"/>
        </w:rPr>
        <w:t>Code Sec.</w:t>
      </w:r>
      <w:r w:rsidRPr="006E5796">
        <w:rPr>
          <w:rFonts w:ascii="Times New Roman" w:hAnsi="Times New Roman" w:cs="Times New Roman"/>
        </w:rPr>
        <w:t xml:space="preserve"> 1059(e), certain distributions are automatically treated as extraordinary dividends despite the fact that they might not meet the general definition of extraordinary dividend</w:t>
      </w:r>
      <w:r>
        <w:rPr>
          <w:rFonts w:ascii="Times New Roman" w:hAnsi="Times New Roman" w:cs="Times New Roman"/>
        </w:rPr>
        <w:t>, including meeting the holding period requirement</w:t>
      </w:r>
      <w:r w:rsidRPr="006E5796">
        <w:rPr>
          <w:rFonts w:ascii="Times New Roman" w:hAnsi="Times New Roman" w:cs="Times New Roman"/>
        </w:rPr>
        <w:t>.</w:t>
      </w:r>
      <w:r>
        <w:rPr>
          <w:rStyle w:val="FootnoteReference"/>
          <w:rFonts w:ascii="Times New Roman" w:hAnsi="Times New Roman" w:cs="Times New Roman"/>
        </w:rPr>
        <w:footnoteReference w:id="166"/>
      </w:r>
    </w:p>
    <w:p w14:paraId="5E103371" w14:textId="77777777" w:rsidR="00712ED0" w:rsidRPr="00712ED0" w:rsidRDefault="00712ED0" w:rsidP="00712ED0">
      <w:pPr>
        <w:pStyle w:val="Heading6"/>
        <w:numPr>
          <w:ilvl w:val="0"/>
          <w:numId w:val="72"/>
        </w:numPr>
        <w:contextualSpacing w:val="0"/>
        <w:rPr>
          <w:sz w:val="22"/>
          <w:szCs w:val="22"/>
        </w:rPr>
      </w:pPr>
      <w:r w:rsidRPr="00712ED0">
        <w:rPr>
          <w:sz w:val="22"/>
          <w:szCs w:val="22"/>
        </w:rPr>
        <w:t>Code Sec. 961(d)</w:t>
      </w:r>
    </w:p>
    <w:p w14:paraId="5CE4726D" w14:textId="0FFD917A" w:rsidR="00712ED0" w:rsidRPr="00A93728" w:rsidRDefault="00712ED0" w:rsidP="0096648D">
      <w:pPr>
        <w:widowControl w:val="0"/>
        <w:spacing w:after="240" w:line="240" w:lineRule="auto"/>
        <w:rPr>
          <w:rFonts w:ascii="Times New Roman" w:hAnsi="Times New Roman" w:cs="Times New Roman"/>
        </w:rPr>
      </w:pPr>
      <w:r>
        <w:rPr>
          <w:rFonts w:ascii="Times New Roman" w:hAnsi="Times New Roman" w:cs="Times New Roman"/>
        </w:rPr>
        <w:t>Code Sec. 961(d) provides that, if a 245A shareholder receives a dividend from an SFC, solely for purposes of determining loss on disposition by the 245A shareholder, basis in the stock of the SFC is reduced (but not below zero) by the amount of any 245A DRD allowable to the shareholder, except to the extent the basis was reduced under Code Sec. 1059.</w:t>
      </w:r>
      <w:r>
        <w:rPr>
          <w:rStyle w:val="FootnoteReference"/>
          <w:rFonts w:ascii="Times New Roman" w:hAnsi="Times New Roman" w:cs="Times New Roman"/>
        </w:rPr>
        <w:footnoteReference w:id="167"/>
      </w:r>
      <w:r>
        <w:rPr>
          <w:rFonts w:ascii="Times New Roman" w:hAnsi="Times New Roman" w:cs="Times New Roman"/>
        </w:rPr>
        <w:t xml:space="preserve"> Unlike Code Sec. 1059, Code Sec. 961(d) only applies to reduce losses, but, also unlike Code Sec. 1059, there is no holding period requirement that can be satisfied to avoid its application. Congress viewed Code Sec. 961(d) as a complement to Code Sec. 1248; whereas the latter would provide an exemption to appreciation in CFC stock attributable to E&amp;P </w:t>
      </w:r>
      <w:r>
        <w:rPr>
          <w:rFonts w:ascii="Times New Roman" w:hAnsi="Times New Roman" w:cs="Times New Roman"/>
        </w:rPr>
        <w:lastRenderedPageBreak/>
        <w:t>(by deeming a dividend that will be eligible for a 245A DRD), the former would disallow loss to the extent attributable to dividends.</w:t>
      </w:r>
      <w:r>
        <w:rPr>
          <w:rStyle w:val="FootnoteReference"/>
          <w:rFonts w:ascii="Times New Roman" w:hAnsi="Times New Roman" w:cs="Times New Roman"/>
        </w:rPr>
        <w:footnoteReference w:id="168"/>
      </w:r>
    </w:p>
    <w:p w14:paraId="461B127B" w14:textId="02899342" w:rsidR="000F3801" w:rsidRPr="00096DD0" w:rsidRDefault="00A00B51" w:rsidP="0096648D">
      <w:pPr>
        <w:pStyle w:val="Heading5"/>
        <w:numPr>
          <w:ilvl w:val="0"/>
          <w:numId w:val="59"/>
        </w:numPr>
        <w:rPr>
          <w:rFonts w:eastAsia="Calibri"/>
        </w:rPr>
      </w:pPr>
      <w:r>
        <w:t>Code Sec. 958(b)(4)</w:t>
      </w:r>
      <w:r w:rsidR="003C2D6F">
        <w:t xml:space="preserve"> and downward attribution</w:t>
      </w:r>
    </w:p>
    <w:p w14:paraId="13AF372F" w14:textId="72E2EAF8" w:rsidR="00717E54" w:rsidRDefault="000F3801" w:rsidP="0096648D">
      <w:pPr>
        <w:widowControl w:val="0"/>
        <w:spacing w:after="240" w:line="240" w:lineRule="auto"/>
        <w:rPr>
          <w:rFonts w:ascii="Times New Roman" w:eastAsia="Calibri" w:hAnsi="Times New Roman" w:cs="Times New Roman"/>
        </w:rPr>
      </w:pPr>
      <w:r w:rsidRPr="00F04920">
        <w:rPr>
          <w:rFonts w:ascii="Times New Roman" w:eastAsia="Calibri" w:hAnsi="Times New Roman" w:cs="Times New Roman"/>
        </w:rPr>
        <w:t>Congress</w:t>
      </w:r>
      <w:r w:rsidR="00A00B51">
        <w:rPr>
          <w:rFonts w:ascii="Times New Roman" w:eastAsia="Calibri" w:hAnsi="Times New Roman" w:cs="Times New Roman"/>
        </w:rPr>
        <w:t xml:space="preserve"> also</w:t>
      </w:r>
      <w:r w:rsidRPr="00F04920">
        <w:rPr>
          <w:rFonts w:ascii="Times New Roman" w:eastAsia="Calibri" w:hAnsi="Times New Roman" w:cs="Times New Roman"/>
        </w:rPr>
        <w:t xml:space="preserve"> repealed </w:t>
      </w:r>
      <w:r w:rsidR="00F66446">
        <w:rPr>
          <w:rFonts w:ascii="Times New Roman" w:eastAsia="Calibri" w:hAnsi="Times New Roman" w:cs="Times New Roman"/>
        </w:rPr>
        <w:t>Code Sec.</w:t>
      </w:r>
      <w:r w:rsidRPr="00F04920">
        <w:rPr>
          <w:rFonts w:ascii="Times New Roman" w:eastAsia="Calibri" w:hAnsi="Times New Roman" w:cs="Times New Roman"/>
        </w:rPr>
        <w:t xml:space="preserve"> 958(b)(4)</w:t>
      </w:r>
      <w:r w:rsidR="00A00B51">
        <w:rPr>
          <w:rFonts w:ascii="Times New Roman" w:eastAsia="Calibri" w:hAnsi="Times New Roman" w:cs="Times New Roman"/>
        </w:rPr>
        <w:t xml:space="preserve"> in the TCJA</w:t>
      </w:r>
      <w:r w:rsidR="00F66446">
        <w:rPr>
          <w:rFonts w:ascii="Times New Roman" w:eastAsia="Calibri" w:hAnsi="Times New Roman" w:cs="Times New Roman"/>
        </w:rPr>
        <w:t>.</w:t>
      </w:r>
      <w:r w:rsidRPr="00F04920">
        <w:rPr>
          <w:rFonts w:ascii="Times New Roman" w:eastAsia="Calibri" w:hAnsi="Times New Roman" w:cs="Times New Roman"/>
        </w:rPr>
        <w:t xml:space="preserve"> </w:t>
      </w:r>
      <w:r w:rsidR="00F66446">
        <w:rPr>
          <w:rFonts w:ascii="Times New Roman" w:eastAsia="Calibri" w:hAnsi="Times New Roman" w:cs="Times New Roman"/>
        </w:rPr>
        <w:t xml:space="preserve">Repealing Code Sec. 958(b)(4) </w:t>
      </w:r>
      <w:r w:rsidRPr="00F04920">
        <w:rPr>
          <w:rFonts w:ascii="Times New Roman" w:eastAsia="Calibri" w:hAnsi="Times New Roman" w:cs="Times New Roman"/>
        </w:rPr>
        <w:t xml:space="preserve">turned off the constructive ownership rules in section 318(a)(3) to attribute stock from a foreign person to a U.S. person for purposes of determining U.S. shareholder and CFC status. The TCJA repealed </w:t>
      </w:r>
      <w:r w:rsidR="000A4E70">
        <w:rPr>
          <w:rFonts w:ascii="Times New Roman" w:eastAsia="Calibri" w:hAnsi="Times New Roman" w:cs="Times New Roman"/>
        </w:rPr>
        <w:t>Code Sec.</w:t>
      </w:r>
      <w:r w:rsidRPr="00F04920">
        <w:rPr>
          <w:rFonts w:ascii="Times New Roman" w:eastAsia="Calibri" w:hAnsi="Times New Roman" w:cs="Times New Roman"/>
        </w:rPr>
        <w:t xml:space="preserve"> 958(b)(4) to prevent a U.S. shareholder from engaging in certain out</w:t>
      </w:r>
      <w:r w:rsidR="00DC1908">
        <w:rPr>
          <w:rFonts w:ascii="Times New Roman" w:eastAsia="Calibri" w:hAnsi="Times New Roman" w:cs="Times New Roman"/>
        </w:rPr>
        <w:t>-</w:t>
      </w:r>
      <w:r w:rsidRPr="00F04920">
        <w:rPr>
          <w:rFonts w:ascii="Times New Roman" w:eastAsia="Calibri" w:hAnsi="Times New Roman" w:cs="Times New Roman"/>
        </w:rPr>
        <w:t>from</w:t>
      </w:r>
      <w:r w:rsidR="00DC1908">
        <w:rPr>
          <w:rFonts w:ascii="Times New Roman" w:eastAsia="Calibri" w:hAnsi="Times New Roman" w:cs="Times New Roman"/>
        </w:rPr>
        <w:t>-</w:t>
      </w:r>
      <w:r w:rsidRPr="00F04920">
        <w:rPr>
          <w:rFonts w:ascii="Times New Roman" w:eastAsia="Calibri" w:hAnsi="Times New Roman" w:cs="Times New Roman"/>
        </w:rPr>
        <w:t>under transactions that were intended to “de-control” a foreign corporation such that i</w:t>
      </w:r>
      <w:r w:rsidR="004F13DD">
        <w:rPr>
          <w:rFonts w:ascii="Times New Roman" w:eastAsia="Calibri" w:hAnsi="Times New Roman" w:cs="Times New Roman"/>
        </w:rPr>
        <w:t>t</w:t>
      </w:r>
      <w:r w:rsidRPr="00F04920">
        <w:rPr>
          <w:rFonts w:ascii="Times New Roman" w:eastAsia="Calibri" w:hAnsi="Times New Roman" w:cs="Times New Roman"/>
        </w:rPr>
        <w:t xml:space="preserve"> was no longer a CFC after such </w:t>
      </w:r>
      <w:r w:rsidR="004F13DD">
        <w:rPr>
          <w:rFonts w:ascii="Times New Roman" w:eastAsia="Calibri" w:hAnsi="Times New Roman" w:cs="Times New Roman"/>
        </w:rPr>
        <w:t xml:space="preserve">a </w:t>
      </w:r>
      <w:r w:rsidRPr="00F04920">
        <w:rPr>
          <w:rFonts w:ascii="Times New Roman" w:eastAsia="Calibri" w:hAnsi="Times New Roman" w:cs="Times New Roman"/>
        </w:rPr>
        <w:t>transaction.</w:t>
      </w:r>
      <w:r w:rsidR="00057F9D">
        <w:rPr>
          <w:rFonts w:ascii="Times New Roman" w:eastAsia="Calibri" w:hAnsi="Times New Roman" w:cs="Times New Roman"/>
        </w:rPr>
        <w:t xml:space="preserve"> </w:t>
      </w:r>
      <w:r w:rsidR="00501730">
        <w:rPr>
          <w:rFonts w:ascii="Times New Roman" w:eastAsia="Calibri" w:hAnsi="Times New Roman" w:cs="Times New Roman"/>
        </w:rPr>
        <w:t>The repeal of Code Sec. 958(b)(4) resulted in f</w:t>
      </w:r>
      <w:r w:rsidR="00057F9D">
        <w:rPr>
          <w:rFonts w:ascii="Times New Roman" w:eastAsia="Calibri" w:hAnsi="Times New Roman" w:cs="Times New Roman"/>
        </w:rPr>
        <w:t>oreign</w:t>
      </w:r>
      <w:r w:rsidR="00501730">
        <w:rPr>
          <w:rFonts w:ascii="Times New Roman" w:eastAsia="Calibri" w:hAnsi="Times New Roman" w:cs="Times New Roman"/>
        </w:rPr>
        <w:t>-</w:t>
      </w:r>
      <w:r w:rsidR="00057F9D">
        <w:rPr>
          <w:rFonts w:ascii="Times New Roman" w:eastAsia="Calibri" w:hAnsi="Times New Roman" w:cs="Times New Roman"/>
        </w:rPr>
        <w:t xml:space="preserve">owned foreign corporations </w:t>
      </w:r>
      <w:r w:rsidR="00A70194">
        <w:rPr>
          <w:rFonts w:ascii="Times New Roman" w:eastAsia="Calibri" w:hAnsi="Times New Roman" w:cs="Times New Roman"/>
        </w:rPr>
        <w:t>being treated as CFCs by reason of downward attribution.</w:t>
      </w:r>
      <w:r w:rsidR="00501730">
        <w:rPr>
          <w:rFonts w:ascii="Times New Roman" w:eastAsia="Calibri" w:hAnsi="Times New Roman" w:cs="Times New Roman"/>
        </w:rPr>
        <w:t xml:space="preserve"> </w:t>
      </w:r>
      <w:r w:rsidR="00A70194">
        <w:rPr>
          <w:rFonts w:ascii="Times New Roman" w:eastAsia="Calibri" w:hAnsi="Times New Roman" w:cs="Times New Roman"/>
        </w:rPr>
        <w:t>In addition, p</w:t>
      </w:r>
      <w:r w:rsidR="00DC2447">
        <w:rPr>
          <w:rFonts w:ascii="Times New Roman" w:eastAsia="Calibri" w:hAnsi="Times New Roman" w:cs="Times New Roman"/>
        </w:rPr>
        <w:t xml:space="preserve">re-TCJA, </w:t>
      </w:r>
      <w:r w:rsidR="004F3DB5">
        <w:rPr>
          <w:rFonts w:ascii="Times New Roman" w:eastAsia="Calibri" w:hAnsi="Times New Roman" w:cs="Times New Roman"/>
        </w:rPr>
        <w:t>similar to</w:t>
      </w:r>
      <w:r w:rsidR="00E31C88">
        <w:rPr>
          <w:rFonts w:ascii="Times New Roman" w:eastAsia="Calibri" w:hAnsi="Times New Roman" w:cs="Times New Roman"/>
        </w:rPr>
        <w:t xml:space="preserve"> 1248 shareholder status</w:t>
      </w:r>
      <w:r w:rsidR="004F3DB5">
        <w:rPr>
          <w:rFonts w:ascii="Times New Roman" w:eastAsia="Calibri" w:hAnsi="Times New Roman" w:cs="Times New Roman"/>
        </w:rPr>
        <w:t xml:space="preserve">, </w:t>
      </w:r>
      <w:r w:rsidR="00DC2447">
        <w:rPr>
          <w:rFonts w:ascii="Times New Roman" w:eastAsia="Calibri" w:hAnsi="Times New Roman" w:cs="Times New Roman"/>
        </w:rPr>
        <w:t>U.S. shareholder status was determined</w:t>
      </w:r>
      <w:r w:rsidR="004F3DB5">
        <w:rPr>
          <w:rFonts w:ascii="Times New Roman" w:eastAsia="Calibri" w:hAnsi="Times New Roman" w:cs="Times New Roman"/>
        </w:rPr>
        <w:t xml:space="preserve"> only</w:t>
      </w:r>
      <w:r w:rsidR="00DC2447">
        <w:rPr>
          <w:rFonts w:ascii="Times New Roman" w:eastAsia="Calibri" w:hAnsi="Times New Roman" w:cs="Times New Roman"/>
        </w:rPr>
        <w:t xml:space="preserve"> by reference to voting power</w:t>
      </w:r>
      <w:r w:rsidR="004F3DB5">
        <w:rPr>
          <w:rFonts w:ascii="Times New Roman" w:eastAsia="Calibri" w:hAnsi="Times New Roman" w:cs="Times New Roman"/>
        </w:rPr>
        <w:t xml:space="preserve">. </w:t>
      </w:r>
      <w:r w:rsidR="0061699D">
        <w:rPr>
          <w:rFonts w:ascii="Times New Roman" w:eastAsia="Calibri" w:hAnsi="Times New Roman" w:cs="Times New Roman"/>
        </w:rPr>
        <w:t>T</w:t>
      </w:r>
      <w:r w:rsidR="00511B0A">
        <w:rPr>
          <w:rFonts w:ascii="Times New Roman" w:eastAsia="Calibri" w:hAnsi="Times New Roman" w:cs="Times New Roman"/>
        </w:rPr>
        <w:t xml:space="preserve">he TCJA </w:t>
      </w:r>
      <w:r>
        <w:rPr>
          <w:rFonts w:ascii="Times New Roman" w:eastAsia="Calibri" w:hAnsi="Times New Roman" w:cs="Times New Roman"/>
        </w:rPr>
        <w:t xml:space="preserve">expanded </w:t>
      </w:r>
      <w:r w:rsidR="003B1921">
        <w:rPr>
          <w:rFonts w:ascii="Times New Roman" w:eastAsia="Calibri" w:hAnsi="Times New Roman" w:cs="Times New Roman"/>
        </w:rPr>
        <w:t xml:space="preserve">U.S. shareholder status </w:t>
      </w:r>
      <w:r>
        <w:rPr>
          <w:rFonts w:ascii="Times New Roman" w:eastAsia="Calibri" w:hAnsi="Times New Roman" w:cs="Times New Roman"/>
        </w:rPr>
        <w:t xml:space="preserve">to include ownership of </w:t>
      </w:r>
      <w:r w:rsidR="00D600DF">
        <w:rPr>
          <w:rFonts w:ascii="Times New Roman" w:eastAsia="Calibri" w:hAnsi="Times New Roman" w:cs="Times New Roman"/>
        </w:rPr>
        <w:t xml:space="preserve">ten </w:t>
      </w:r>
      <w:r>
        <w:rPr>
          <w:rFonts w:ascii="Times New Roman" w:eastAsia="Calibri" w:hAnsi="Times New Roman" w:cs="Times New Roman"/>
        </w:rPr>
        <w:t xml:space="preserve">percent or more of the vote </w:t>
      </w:r>
      <w:r w:rsidRPr="00483CE2">
        <w:rPr>
          <w:rFonts w:ascii="Times New Roman" w:eastAsia="Calibri" w:hAnsi="Times New Roman" w:cs="Times New Roman"/>
          <w:i/>
          <w:iCs/>
        </w:rPr>
        <w:t>or value</w:t>
      </w:r>
      <w:r>
        <w:rPr>
          <w:rFonts w:ascii="Times New Roman" w:eastAsia="Calibri" w:hAnsi="Times New Roman" w:cs="Times New Roman"/>
        </w:rPr>
        <w:t xml:space="preserve"> of a foreign corporation.</w:t>
      </w:r>
      <w:r w:rsidR="00E47D8E">
        <w:rPr>
          <w:rStyle w:val="FootnoteReference"/>
          <w:rFonts w:ascii="Times New Roman" w:hAnsi="Times New Roman" w:cs="Times New Roman"/>
        </w:rPr>
        <w:footnoteReference w:id="169"/>
      </w:r>
      <w:r w:rsidR="00E47D8E">
        <w:rPr>
          <w:rFonts w:ascii="Times New Roman" w:hAnsi="Times New Roman" w:cs="Times New Roman"/>
        </w:rPr>
        <w:t xml:space="preserve"> </w:t>
      </w:r>
      <w:r w:rsidR="00A1711C">
        <w:rPr>
          <w:rFonts w:ascii="Times New Roman" w:eastAsia="Calibri" w:hAnsi="Times New Roman" w:cs="Times New Roman"/>
        </w:rPr>
        <w:t xml:space="preserve">These amendments significantly expanded the number of persons that constitute U.S. shareholders and the number of foreign corporations that constitute CFCs. </w:t>
      </w:r>
    </w:p>
    <w:p w14:paraId="7902A157" w14:textId="18DF4EF7" w:rsidR="00BE0C44" w:rsidRDefault="00BE0C44" w:rsidP="0096648D">
      <w:pPr>
        <w:pStyle w:val="Heading5"/>
        <w:numPr>
          <w:ilvl w:val="0"/>
          <w:numId w:val="59"/>
        </w:numPr>
        <w:rPr>
          <w:rFonts w:eastAsia="Calibri"/>
        </w:rPr>
      </w:pPr>
      <w:r>
        <w:rPr>
          <w:rFonts w:eastAsia="Calibri"/>
        </w:rPr>
        <w:t xml:space="preserve">Treatment of partnerships </w:t>
      </w:r>
    </w:p>
    <w:p w14:paraId="6DC223D3" w14:textId="065D1B72" w:rsidR="006F3655" w:rsidRDefault="00E64284" w:rsidP="0018066D">
      <w:pPr>
        <w:spacing w:after="240" w:line="240" w:lineRule="auto"/>
        <w:rPr>
          <w:rFonts w:ascii="Times New Roman" w:hAnsi="Times New Roman" w:cs="Times New Roman"/>
        </w:rPr>
      </w:pPr>
      <w:r>
        <w:rPr>
          <w:rFonts w:ascii="Times New Roman" w:hAnsi="Times New Roman" w:cs="Times New Roman"/>
        </w:rPr>
        <w:t xml:space="preserve">A foreign partnership is treated as an aggregate of its partners for all relevant international tax provisions. </w:t>
      </w:r>
      <w:r w:rsidR="00BB4EFB">
        <w:rPr>
          <w:rFonts w:ascii="Times New Roman" w:hAnsi="Times New Roman" w:cs="Times New Roman"/>
        </w:rPr>
        <w:t>For purposes of any provision that cross-references Code Sec. 958(a) (</w:t>
      </w:r>
      <w:r w:rsidR="00BB4EFB" w:rsidRPr="006F3655">
        <w:rPr>
          <w:rFonts w:ascii="Times New Roman" w:hAnsi="Times New Roman" w:cs="Times New Roman"/>
          <w:i/>
        </w:rPr>
        <w:t>e.g.</w:t>
      </w:r>
      <w:r w:rsidR="00BB4EFB">
        <w:rPr>
          <w:rFonts w:ascii="Times New Roman" w:hAnsi="Times New Roman" w:cs="Times New Roman"/>
        </w:rPr>
        <w:t>, subpart F, GILTI, and Code Sec. 1248), stock owned by any foreign entity, including a foreign partnership, is treated as indirectly owned proportionately by its owners.</w:t>
      </w:r>
    </w:p>
    <w:p w14:paraId="1C2E13FC" w14:textId="42DE6080" w:rsidR="00BE0C44" w:rsidRDefault="00BB4EFB" w:rsidP="0018066D">
      <w:pPr>
        <w:spacing w:after="240" w:line="240" w:lineRule="auto"/>
        <w:rPr>
          <w:rFonts w:ascii="Times New Roman" w:hAnsi="Times New Roman" w:cs="Times New Roman"/>
        </w:rPr>
      </w:pPr>
      <w:r>
        <w:rPr>
          <w:rFonts w:ascii="Times New Roman" w:hAnsi="Times New Roman" w:cs="Times New Roman"/>
        </w:rPr>
        <w:t xml:space="preserve">In contrast, the treatment of a domestic partnership depends on the </w:t>
      </w:r>
      <w:r w:rsidR="008340DF">
        <w:rPr>
          <w:rFonts w:ascii="Times New Roman" w:hAnsi="Times New Roman" w:cs="Times New Roman"/>
        </w:rPr>
        <w:t xml:space="preserve">relevant </w:t>
      </w:r>
      <w:r>
        <w:rPr>
          <w:rFonts w:ascii="Times New Roman" w:hAnsi="Times New Roman" w:cs="Times New Roman"/>
        </w:rPr>
        <w:t>international tax provision. A domestic partnership is treated as an entity for purposes of determining whether a U.S. person (including a domestic partnership) is a U.S. shareholder, for purposes of determining whether a foreign corporation is a CFC, and for purposes of applying Code Sec. 1248</w:t>
      </w:r>
      <w:r w:rsidR="00164275">
        <w:rPr>
          <w:rStyle w:val="FootnoteReference"/>
          <w:rFonts w:ascii="Times New Roman" w:hAnsi="Times New Roman" w:cs="Times New Roman"/>
        </w:rPr>
        <w:footnoteReference w:id="170"/>
      </w:r>
      <w:r w:rsidR="00164275">
        <w:rPr>
          <w:rFonts w:ascii="Times New Roman" w:hAnsi="Times New Roman" w:cs="Times New Roman"/>
        </w:rPr>
        <w:t xml:space="preserve"> and an aggregate </w:t>
      </w:r>
      <w:r w:rsidR="005976EE">
        <w:rPr>
          <w:rFonts w:ascii="Times New Roman" w:hAnsi="Times New Roman" w:cs="Times New Roman"/>
        </w:rPr>
        <w:t xml:space="preserve">of its partners </w:t>
      </w:r>
      <w:r w:rsidR="00164275">
        <w:rPr>
          <w:rFonts w:ascii="Times New Roman" w:hAnsi="Times New Roman" w:cs="Times New Roman"/>
        </w:rPr>
        <w:t>for purposes of</w:t>
      </w:r>
      <w:r w:rsidR="005976EE">
        <w:rPr>
          <w:rFonts w:ascii="Times New Roman" w:hAnsi="Times New Roman" w:cs="Times New Roman"/>
        </w:rPr>
        <w:t xml:space="preserve"> determining whether a dividend received by a partnership is QDI under Code Sec. 1(h)(11) or eligible for a </w:t>
      </w:r>
      <w:r w:rsidR="0010660D">
        <w:rPr>
          <w:rFonts w:ascii="Times New Roman" w:hAnsi="Times New Roman" w:cs="Times New Roman"/>
        </w:rPr>
        <w:t xml:space="preserve">245A </w:t>
      </w:r>
      <w:r w:rsidR="005976EE">
        <w:rPr>
          <w:rFonts w:ascii="Times New Roman" w:hAnsi="Times New Roman" w:cs="Times New Roman"/>
        </w:rPr>
        <w:t>DRD,</w:t>
      </w:r>
      <w:r w:rsidR="00927C7A">
        <w:rPr>
          <w:rStyle w:val="FootnoteReference"/>
          <w:rFonts w:ascii="Times New Roman" w:hAnsi="Times New Roman" w:cs="Times New Roman"/>
        </w:rPr>
        <w:footnoteReference w:id="171"/>
      </w:r>
      <w:r w:rsidR="00A5108A">
        <w:rPr>
          <w:rFonts w:ascii="Times New Roman" w:hAnsi="Times New Roman" w:cs="Times New Roman"/>
        </w:rPr>
        <w:t xml:space="preserve"> </w:t>
      </w:r>
      <w:r w:rsidR="005976EE">
        <w:rPr>
          <w:rFonts w:ascii="Times New Roman" w:hAnsi="Times New Roman" w:cs="Times New Roman"/>
        </w:rPr>
        <w:t>as well as for purposes of computing GILTI</w:t>
      </w:r>
      <w:r w:rsidR="005B6DEC">
        <w:rPr>
          <w:rFonts w:ascii="Times New Roman" w:hAnsi="Times New Roman" w:cs="Times New Roman"/>
        </w:rPr>
        <w:t>.</w:t>
      </w:r>
      <w:r w:rsidR="005B6DEC">
        <w:rPr>
          <w:rStyle w:val="FootnoteReference"/>
          <w:rFonts w:ascii="Times New Roman" w:hAnsi="Times New Roman" w:cs="Times New Roman"/>
        </w:rPr>
        <w:footnoteReference w:id="172"/>
      </w:r>
    </w:p>
    <w:p w14:paraId="78F54201" w14:textId="4ED8941D" w:rsidR="006004B9" w:rsidRPr="00E64284" w:rsidRDefault="006004B9" w:rsidP="0018066D">
      <w:pPr>
        <w:spacing w:after="240" w:line="240" w:lineRule="auto"/>
        <w:rPr>
          <w:rFonts w:ascii="Times New Roman" w:hAnsi="Times New Roman" w:cs="Times New Roman"/>
        </w:rPr>
      </w:pPr>
      <w:r>
        <w:rPr>
          <w:rFonts w:ascii="Times New Roman" w:hAnsi="Times New Roman" w:cs="Times New Roman"/>
        </w:rPr>
        <w:t xml:space="preserve">As a result, </w:t>
      </w:r>
      <w:r w:rsidR="00927C7A">
        <w:rPr>
          <w:rFonts w:ascii="Times New Roman" w:hAnsi="Times New Roman" w:cs="Times New Roman"/>
        </w:rPr>
        <w:t>in</w:t>
      </w:r>
      <w:r>
        <w:rPr>
          <w:rFonts w:ascii="Times New Roman" w:hAnsi="Times New Roman" w:cs="Times New Roman"/>
        </w:rPr>
        <w:t xml:space="preserve"> determining whether the </w:t>
      </w:r>
      <w:r w:rsidR="00EB01C6">
        <w:rPr>
          <w:rFonts w:ascii="Times New Roman" w:hAnsi="Times New Roman" w:cs="Times New Roman"/>
        </w:rPr>
        <w:t>367(b) regulations</w:t>
      </w:r>
      <w:r>
        <w:rPr>
          <w:rFonts w:ascii="Times New Roman" w:hAnsi="Times New Roman" w:cs="Times New Roman"/>
        </w:rPr>
        <w:t xml:space="preserve"> or Code Sec. 1248 applies with respect to a transaction, a domestic partnership may </w:t>
      </w:r>
      <w:r w:rsidR="00993B0B">
        <w:rPr>
          <w:rFonts w:ascii="Times New Roman" w:hAnsi="Times New Roman" w:cs="Times New Roman"/>
        </w:rPr>
        <w:t>be a U.S. shareholder or a 1248 shareholder</w:t>
      </w:r>
      <w:r w:rsidR="00164E9B">
        <w:rPr>
          <w:rFonts w:ascii="Times New Roman" w:hAnsi="Times New Roman" w:cs="Times New Roman"/>
        </w:rPr>
        <w:t>. H</w:t>
      </w:r>
      <w:r w:rsidR="00F27375">
        <w:rPr>
          <w:rFonts w:ascii="Times New Roman" w:hAnsi="Times New Roman" w:cs="Times New Roman"/>
        </w:rPr>
        <w:t xml:space="preserve">owever, whether a </w:t>
      </w:r>
      <w:r w:rsidR="00F27375">
        <w:rPr>
          <w:rFonts w:ascii="Times New Roman" w:hAnsi="Times New Roman" w:cs="Times New Roman"/>
        </w:rPr>
        <w:lastRenderedPageBreak/>
        <w:t>partner’s distributive share of the resulting dividend is afforded a DRD or QDI depends on the specific characteristics of the partner</w:t>
      </w:r>
      <w:r w:rsidR="00D50B49">
        <w:rPr>
          <w:rFonts w:ascii="Times New Roman" w:hAnsi="Times New Roman" w:cs="Times New Roman"/>
        </w:rPr>
        <w:t xml:space="preserve"> (</w:t>
      </w:r>
      <w:r w:rsidR="00D50B49" w:rsidRPr="00026318">
        <w:rPr>
          <w:rFonts w:ascii="Times New Roman" w:hAnsi="Times New Roman" w:cs="Times New Roman"/>
          <w:i/>
          <w:iCs/>
        </w:rPr>
        <w:t>e.g.</w:t>
      </w:r>
      <w:r w:rsidR="00D50B49">
        <w:rPr>
          <w:rFonts w:ascii="Times New Roman" w:hAnsi="Times New Roman" w:cs="Times New Roman"/>
        </w:rPr>
        <w:t xml:space="preserve">, whether </w:t>
      </w:r>
      <w:r w:rsidR="00AC1718">
        <w:rPr>
          <w:rFonts w:ascii="Times New Roman" w:hAnsi="Times New Roman" w:cs="Times New Roman"/>
        </w:rPr>
        <w:t xml:space="preserve">the partner is </w:t>
      </w:r>
      <w:r w:rsidR="00D50B49">
        <w:rPr>
          <w:rFonts w:ascii="Times New Roman" w:hAnsi="Times New Roman" w:cs="Times New Roman"/>
        </w:rPr>
        <w:t>a</w:t>
      </w:r>
      <w:r w:rsidR="00026318">
        <w:rPr>
          <w:rFonts w:ascii="Times New Roman" w:hAnsi="Times New Roman" w:cs="Times New Roman"/>
        </w:rPr>
        <w:t xml:space="preserve"> 245A shareholder or an individual)</w:t>
      </w:r>
      <w:r w:rsidR="00F27375">
        <w:rPr>
          <w:rFonts w:ascii="Times New Roman" w:hAnsi="Times New Roman" w:cs="Times New Roman"/>
        </w:rPr>
        <w:t xml:space="preserve">. </w:t>
      </w:r>
    </w:p>
    <w:p w14:paraId="6D56C2D1" w14:textId="77777777" w:rsidR="00AD6477" w:rsidRPr="00646ECD" w:rsidRDefault="00AD6477" w:rsidP="0096648D">
      <w:pPr>
        <w:widowControl w:val="0"/>
        <w:spacing w:after="240" w:line="240" w:lineRule="auto"/>
        <w:rPr>
          <w:rFonts w:ascii="Times New Roman" w:hAnsi="Times New Roman" w:cs="Times New Roman"/>
        </w:rPr>
      </w:pPr>
    </w:p>
    <w:p w14:paraId="69269751" w14:textId="5D47A073" w:rsidR="00853C4C" w:rsidRDefault="00A04F4D" w:rsidP="0096648D">
      <w:pPr>
        <w:pStyle w:val="Heading2"/>
        <w:widowControl w:val="0"/>
      </w:pPr>
      <w:bookmarkStart w:id="14" w:name="OLE_LINK7"/>
      <w:r>
        <w:t>Where Do We Go From Here?</w:t>
      </w:r>
    </w:p>
    <w:bookmarkEnd w:id="14"/>
    <w:p w14:paraId="1BE394CF" w14:textId="03CAEA44" w:rsidR="00E42497" w:rsidRPr="00EA0EA3" w:rsidRDefault="00FC74B1" w:rsidP="0018066D">
      <w:pPr>
        <w:widowControl w:val="0"/>
        <w:spacing w:after="240" w:line="240" w:lineRule="auto"/>
      </w:pPr>
      <w:r w:rsidRPr="00FC74B1">
        <w:rPr>
          <w:rFonts w:ascii="Times New Roman" w:hAnsi="Times New Roman" w:cs="Times New Roman"/>
        </w:rPr>
        <w:t>In this</w:t>
      </w:r>
      <w:r w:rsidR="00E42497">
        <w:rPr>
          <w:rFonts w:ascii="Times New Roman" w:hAnsi="Times New Roman" w:cs="Times New Roman"/>
        </w:rPr>
        <w:t xml:space="preserve"> section, we consider various approaches</w:t>
      </w:r>
      <w:r w:rsidR="00CD33D2">
        <w:rPr>
          <w:rFonts w:ascii="Times New Roman" w:hAnsi="Times New Roman" w:cs="Times New Roman"/>
        </w:rPr>
        <w:t xml:space="preserve"> that Treasury and the IRS could consider </w:t>
      </w:r>
      <w:r w:rsidR="0021692C">
        <w:rPr>
          <w:rFonts w:ascii="Times New Roman" w:hAnsi="Times New Roman" w:cs="Times New Roman"/>
        </w:rPr>
        <w:t>with respect to updating</w:t>
      </w:r>
      <w:r w:rsidR="00E42497">
        <w:rPr>
          <w:rFonts w:ascii="Times New Roman" w:hAnsi="Times New Roman" w:cs="Times New Roman"/>
        </w:rPr>
        <w:t xml:space="preserve"> B3 and B4</w:t>
      </w:r>
      <w:r w:rsidR="0021692C">
        <w:rPr>
          <w:rFonts w:ascii="Times New Roman" w:hAnsi="Times New Roman" w:cs="Times New Roman"/>
        </w:rPr>
        <w:t>.</w:t>
      </w:r>
      <w:r w:rsidR="00A5108A">
        <w:rPr>
          <w:rFonts w:ascii="Times New Roman" w:hAnsi="Times New Roman" w:cs="Times New Roman"/>
        </w:rPr>
        <w:t xml:space="preserve"> </w:t>
      </w:r>
      <w:r w:rsidR="0021692C">
        <w:rPr>
          <w:rFonts w:ascii="Times New Roman" w:hAnsi="Times New Roman" w:cs="Times New Roman"/>
        </w:rPr>
        <w:t xml:space="preserve">We make no recommendations in this report, but rather </w:t>
      </w:r>
      <w:r w:rsidR="00F61C5C">
        <w:rPr>
          <w:rFonts w:ascii="Times New Roman" w:hAnsi="Times New Roman" w:cs="Times New Roman"/>
        </w:rPr>
        <w:t xml:space="preserve">merely </w:t>
      </w:r>
      <w:r w:rsidR="003916D6">
        <w:rPr>
          <w:rFonts w:ascii="Times New Roman" w:hAnsi="Times New Roman" w:cs="Times New Roman"/>
        </w:rPr>
        <w:t xml:space="preserve">attempt to </w:t>
      </w:r>
      <w:r w:rsidR="00F61C5C">
        <w:rPr>
          <w:rFonts w:ascii="Times New Roman" w:hAnsi="Times New Roman" w:cs="Times New Roman"/>
        </w:rPr>
        <w:t xml:space="preserve">highlight </w:t>
      </w:r>
      <w:r w:rsidR="003916D6">
        <w:rPr>
          <w:rFonts w:ascii="Times New Roman" w:hAnsi="Times New Roman" w:cs="Times New Roman"/>
        </w:rPr>
        <w:t>various approaches</w:t>
      </w:r>
      <w:r w:rsidR="00F61C5C">
        <w:rPr>
          <w:rFonts w:ascii="Times New Roman" w:hAnsi="Times New Roman" w:cs="Times New Roman"/>
        </w:rPr>
        <w:t xml:space="preserve"> to these core provisions that could be adopted</w:t>
      </w:r>
      <w:r w:rsidR="00BE532E">
        <w:rPr>
          <w:rFonts w:ascii="Times New Roman" w:hAnsi="Times New Roman" w:cs="Times New Roman"/>
        </w:rPr>
        <w:t>, and identify their pros and cons.</w:t>
      </w:r>
    </w:p>
    <w:p w14:paraId="18A8E4E4" w14:textId="4345E5EB" w:rsidR="00C60488" w:rsidRDefault="00C60488" w:rsidP="0096648D">
      <w:pPr>
        <w:pStyle w:val="Heading3"/>
        <w:keepNext w:val="0"/>
        <w:keepLines w:val="0"/>
        <w:widowControl w:val="0"/>
        <w:numPr>
          <w:ilvl w:val="0"/>
          <w:numId w:val="46"/>
        </w:numPr>
      </w:pPr>
      <w:r>
        <w:t>Eliminate B3 and B4</w:t>
      </w:r>
    </w:p>
    <w:p w14:paraId="2E3ED03A" w14:textId="33EDA5A3" w:rsidR="00C60488" w:rsidRDefault="00B56E9F" w:rsidP="0018066D">
      <w:pPr>
        <w:widowControl w:val="0"/>
        <w:spacing w:after="240" w:line="240" w:lineRule="auto"/>
        <w:rPr>
          <w:rFonts w:ascii="Times New Roman" w:hAnsi="Times New Roman" w:cs="Times New Roman"/>
        </w:rPr>
      </w:pPr>
      <w:r>
        <w:rPr>
          <w:rFonts w:ascii="Times New Roman" w:hAnsi="Times New Roman" w:cs="Times New Roman"/>
        </w:rPr>
        <w:t xml:space="preserve">The first approach </w:t>
      </w:r>
      <w:r w:rsidR="00960D52">
        <w:rPr>
          <w:rFonts w:ascii="Times New Roman" w:hAnsi="Times New Roman" w:cs="Times New Roman"/>
        </w:rPr>
        <w:t>for consideration</w:t>
      </w:r>
      <w:r w:rsidR="006D796E">
        <w:rPr>
          <w:rFonts w:ascii="Times New Roman" w:hAnsi="Times New Roman" w:cs="Times New Roman"/>
        </w:rPr>
        <w:t xml:space="preserve"> is whether to</w:t>
      </w:r>
      <w:r w:rsidR="00E42497">
        <w:rPr>
          <w:rFonts w:ascii="Times New Roman" w:hAnsi="Times New Roman" w:cs="Times New Roman"/>
        </w:rPr>
        <w:t xml:space="preserve"> </w:t>
      </w:r>
      <w:r w:rsidR="006D796E">
        <w:rPr>
          <w:rFonts w:ascii="Times New Roman" w:hAnsi="Times New Roman" w:cs="Times New Roman"/>
        </w:rPr>
        <w:t>withdraw</w:t>
      </w:r>
      <w:r w:rsidR="009E1EC6">
        <w:rPr>
          <w:rFonts w:ascii="Times New Roman" w:hAnsi="Times New Roman" w:cs="Times New Roman"/>
        </w:rPr>
        <w:t xml:space="preserve"> </w:t>
      </w:r>
      <w:r w:rsidR="00E42497">
        <w:rPr>
          <w:rFonts w:ascii="Times New Roman" w:hAnsi="Times New Roman" w:cs="Times New Roman"/>
        </w:rPr>
        <w:t>B3 and B</w:t>
      </w:r>
      <w:r w:rsidR="009E1EC6">
        <w:rPr>
          <w:rFonts w:ascii="Times New Roman" w:hAnsi="Times New Roman" w:cs="Times New Roman"/>
        </w:rPr>
        <w:t xml:space="preserve">4, and indeed much of the </w:t>
      </w:r>
      <w:r w:rsidR="004714E0">
        <w:rPr>
          <w:rFonts w:ascii="Times New Roman" w:hAnsi="Times New Roman" w:cs="Times New Roman"/>
        </w:rPr>
        <w:t>367(b) regulations</w:t>
      </w:r>
      <w:r w:rsidR="00EB105D">
        <w:rPr>
          <w:rFonts w:ascii="Times New Roman" w:hAnsi="Times New Roman" w:cs="Times New Roman"/>
        </w:rPr>
        <w:t>.</w:t>
      </w:r>
      <w:r w:rsidR="004B1575">
        <w:rPr>
          <w:rStyle w:val="FootnoteReference"/>
          <w:rFonts w:ascii="Times New Roman" w:hAnsi="Times New Roman" w:cs="Times New Roman"/>
        </w:rPr>
        <w:footnoteReference w:id="173"/>
      </w:r>
      <w:r w:rsidR="00EB105D">
        <w:rPr>
          <w:rFonts w:ascii="Times New Roman" w:hAnsi="Times New Roman" w:cs="Times New Roman"/>
        </w:rPr>
        <w:t xml:space="preserve"> </w:t>
      </w:r>
      <w:r w:rsidR="001D4FE3">
        <w:rPr>
          <w:rFonts w:ascii="Times New Roman" w:hAnsi="Times New Roman" w:cs="Times New Roman"/>
        </w:rPr>
        <w:t xml:space="preserve">In all candor, we </w:t>
      </w:r>
      <w:r w:rsidR="009E1EC6">
        <w:rPr>
          <w:rFonts w:ascii="Times New Roman" w:hAnsi="Times New Roman" w:cs="Times New Roman"/>
        </w:rPr>
        <w:t xml:space="preserve">do not believe that </w:t>
      </w:r>
      <w:r w:rsidR="001D4FE3">
        <w:rPr>
          <w:rFonts w:ascii="Times New Roman" w:hAnsi="Times New Roman" w:cs="Times New Roman"/>
        </w:rPr>
        <w:t xml:space="preserve">Treasury and the IRS </w:t>
      </w:r>
      <w:r w:rsidR="009E1EC6">
        <w:rPr>
          <w:rFonts w:ascii="Times New Roman" w:hAnsi="Times New Roman" w:cs="Times New Roman"/>
        </w:rPr>
        <w:t>will seriously consider</w:t>
      </w:r>
      <w:r w:rsidR="00A2072E">
        <w:rPr>
          <w:rFonts w:ascii="Times New Roman" w:hAnsi="Times New Roman" w:cs="Times New Roman"/>
        </w:rPr>
        <w:t xml:space="preserve"> this</w:t>
      </w:r>
      <w:r w:rsidR="009E1EC6">
        <w:rPr>
          <w:rFonts w:ascii="Times New Roman" w:hAnsi="Times New Roman" w:cs="Times New Roman"/>
        </w:rPr>
        <w:t xml:space="preserve"> </w:t>
      </w:r>
      <w:r w:rsidR="00A2072E">
        <w:rPr>
          <w:rFonts w:ascii="Times New Roman" w:hAnsi="Times New Roman" w:cs="Times New Roman"/>
        </w:rPr>
        <w:t>“</w:t>
      </w:r>
      <w:r w:rsidR="00C270E5">
        <w:rPr>
          <w:rFonts w:ascii="Times New Roman" w:hAnsi="Times New Roman" w:cs="Times New Roman"/>
        </w:rPr>
        <w:t>Ctrl</w:t>
      </w:r>
      <w:r w:rsidR="00A2072E">
        <w:rPr>
          <w:rFonts w:ascii="Times New Roman" w:hAnsi="Times New Roman" w:cs="Times New Roman"/>
        </w:rPr>
        <w:t>-A Del” option</w:t>
      </w:r>
      <w:r w:rsidR="002E2318">
        <w:rPr>
          <w:rFonts w:ascii="Times New Roman" w:hAnsi="Times New Roman" w:cs="Times New Roman"/>
        </w:rPr>
        <w:t xml:space="preserve"> – there is </w:t>
      </w:r>
      <w:r w:rsidR="00E83012">
        <w:rPr>
          <w:rFonts w:ascii="Times New Roman" w:hAnsi="Times New Roman" w:cs="Times New Roman"/>
        </w:rPr>
        <w:t>nothing quite as path dependent as</w:t>
      </w:r>
      <w:r w:rsidR="001850C7">
        <w:rPr>
          <w:rFonts w:ascii="Times New Roman" w:hAnsi="Times New Roman" w:cs="Times New Roman"/>
        </w:rPr>
        <w:t xml:space="preserve"> a</w:t>
      </w:r>
      <w:r w:rsidR="0057780D">
        <w:rPr>
          <w:rFonts w:ascii="Times New Roman" w:hAnsi="Times New Roman" w:cs="Times New Roman"/>
        </w:rPr>
        <w:t>n</w:t>
      </w:r>
      <w:r w:rsidR="001850C7">
        <w:rPr>
          <w:rFonts w:ascii="Times New Roman" w:hAnsi="Times New Roman" w:cs="Times New Roman"/>
        </w:rPr>
        <w:t xml:space="preserve"> anti-avoidance</w:t>
      </w:r>
      <w:r w:rsidR="00D0281F">
        <w:rPr>
          <w:rFonts w:ascii="Times New Roman" w:hAnsi="Times New Roman" w:cs="Times New Roman"/>
        </w:rPr>
        <w:t xml:space="preserve"> r</w:t>
      </w:r>
      <w:r w:rsidR="00E83012">
        <w:rPr>
          <w:rFonts w:ascii="Times New Roman" w:hAnsi="Times New Roman" w:cs="Times New Roman"/>
        </w:rPr>
        <w:t>ule</w:t>
      </w:r>
      <w:r w:rsidR="007B2DC0">
        <w:rPr>
          <w:rFonts w:ascii="Times New Roman" w:hAnsi="Times New Roman" w:cs="Times New Roman"/>
        </w:rPr>
        <w:t xml:space="preserve"> dating</w:t>
      </w:r>
      <w:r w:rsidR="00E83012">
        <w:rPr>
          <w:rFonts w:ascii="Times New Roman" w:hAnsi="Times New Roman" w:cs="Times New Roman"/>
        </w:rPr>
        <w:t xml:space="preserve"> </w:t>
      </w:r>
      <w:r w:rsidR="00034151">
        <w:rPr>
          <w:rFonts w:ascii="Times New Roman" w:hAnsi="Times New Roman" w:cs="Times New Roman"/>
        </w:rPr>
        <w:t>from</w:t>
      </w:r>
      <w:r w:rsidR="00027402">
        <w:rPr>
          <w:rFonts w:ascii="Times New Roman" w:hAnsi="Times New Roman" w:cs="Times New Roman"/>
        </w:rPr>
        <w:t xml:space="preserve"> the </w:t>
      </w:r>
      <w:r w:rsidR="00B032DE">
        <w:rPr>
          <w:rFonts w:ascii="Times New Roman" w:hAnsi="Times New Roman" w:cs="Times New Roman"/>
        </w:rPr>
        <w:t xml:space="preserve">Ford </w:t>
      </w:r>
      <w:r w:rsidR="00027402">
        <w:rPr>
          <w:rFonts w:ascii="Times New Roman" w:hAnsi="Times New Roman" w:cs="Times New Roman"/>
        </w:rPr>
        <w:t>administration</w:t>
      </w:r>
      <w:r w:rsidR="006D796E">
        <w:rPr>
          <w:rFonts w:ascii="Times New Roman" w:hAnsi="Times New Roman" w:cs="Times New Roman"/>
        </w:rPr>
        <w:t xml:space="preserve">. Therefore, </w:t>
      </w:r>
      <w:r w:rsidR="00EC0DA6">
        <w:rPr>
          <w:rFonts w:ascii="Times New Roman" w:hAnsi="Times New Roman" w:cs="Times New Roman"/>
        </w:rPr>
        <w:t xml:space="preserve">we </w:t>
      </w:r>
      <w:r w:rsidR="009138CB">
        <w:rPr>
          <w:rFonts w:ascii="Times New Roman" w:hAnsi="Times New Roman" w:cs="Times New Roman"/>
        </w:rPr>
        <w:t xml:space="preserve">consider </w:t>
      </w:r>
      <w:r w:rsidR="009E1EC6">
        <w:rPr>
          <w:rFonts w:ascii="Times New Roman" w:hAnsi="Times New Roman" w:cs="Times New Roman"/>
        </w:rPr>
        <w:t>this</w:t>
      </w:r>
      <w:r w:rsidR="00E8194E">
        <w:rPr>
          <w:rFonts w:ascii="Times New Roman" w:hAnsi="Times New Roman" w:cs="Times New Roman"/>
        </w:rPr>
        <w:t xml:space="preserve"> </w:t>
      </w:r>
      <w:r w:rsidR="00752886">
        <w:rPr>
          <w:rFonts w:ascii="Times New Roman" w:hAnsi="Times New Roman" w:cs="Times New Roman"/>
        </w:rPr>
        <w:t>merely</w:t>
      </w:r>
      <w:r w:rsidR="00E8194E">
        <w:rPr>
          <w:rFonts w:ascii="Times New Roman" w:hAnsi="Times New Roman" w:cs="Times New Roman"/>
        </w:rPr>
        <w:t xml:space="preserve"> a thought exercise</w:t>
      </w:r>
      <w:r w:rsidR="00D51876">
        <w:rPr>
          <w:rFonts w:ascii="Times New Roman" w:hAnsi="Times New Roman" w:cs="Times New Roman"/>
        </w:rPr>
        <w:t xml:space="preserve"> that could help inform other </w:t>
      </w:r>
      <w:r w:rsidR="00593EC0">
        <w:rPr>
          <w:rFonts w:ascii="Times New Roman" w:hAnsi="Times New Roman" w:cs="Times New Roman"/>
        </w:rPr>
        <w:t>options</w:t>
      </w:r>
      <w:r w:rsidR="00E8194E">
        <w:rPr>
          <w:rFonts w:ascii="Times New Roman" w:hAnsi="Times New Roman" w:cs="Times New Roman"/>
        </w:rPr>
        <w:t>.</w:t>
      </w:r>
    </w:p>
    <w:p w14:paraId="3C2EA760" w14:textId="0F8F76EB" w:rsidR="005640EF" w:rsidRDefault="003669E6" w:rsidP="0018066D">
      <w:pPr>
        <w:widowControl w:val="0"/>
        <w:spacing w:after="240" w:line="240" w:lineRule="auto"/>
        <w:rPr>
          <w:rFonts w:ascii="Times New Roman" w:hAnsi="Times New Roman" w:cs="Times New Roman"/>
        </w:rPr>
      </w:pPr>
      <w:r>
        <w:rPr>
          <w:rFonts w:ascii="Times New Roman" w:hAnsi="Times New Roman" w:cs="Times New Roman"/>
        </w:rPr>
        <w:t>The argument</w:t>
      </w:r>
      <w:r w:rsidR="0068013F">
        <w:rPr>
          <w:rFonts w:ascii="Times New Roman" w:hAnsi="Times New Roman" w:cs="Times New Roman"/>
        </w:rPr>
        <w:t xml:space="preserve">s for elimination are different for B3 and B4, because the policies </w:t>
      </w:r>
      <w:r w:rsidR="00615B75">
        <w:rPr>
          <w:rFonts w:ascii="Times New Roman" w:hAnsi="Times New Roman" w:cs="Times New Roman"/>
        </w:rPr>
        <w:t>underlying the</w:t>
      </w:r>
      <w:r w:rsidR="007127EA">
        <w:rPr>
          <w:rFonts w:ascii="Times New Roman" w:hAnsi="Times New Roman" w:cs="Times New Roman"/>
        </w:rPr>
        <w:t>se rules</w:t>
      </w:r>
      <w:r w:rsidR="00615B75">
        <w:rPr>
          <w:rFonts w:ascii="Times New Roman" w:hAnsi="Times New Roman" w:cs="Times New Roman"/>
        </w:rPr>
        <w:t xml:space="preserve"> </w:t>
      </w:r>
      <w:r w:rsidR="009138CB">
        <w:rPr>
          <w:rFonts w:ascii="Times New Roman" w:hAnsi="Times New Roman" w:cs="Times New Roman"/>
        </w:rPr>
        <w:t>are</w:t>
      </w:r>
      <w:r w:rsidR="00752886">
        <w:rPr>
          <w:rFonts w:ascii="Times New Roman" w:hAnsi="Times New Roman" w:cs="Times New Roman"/>
        </w:rPr>
        <w:t xml:space="preserve"> different.</w:t>
      </w:r>
      <w:r w:rsidR="00E93A99">
        <w:rPr>
          <w:rStyle w:val="FootnoteReference"/>
          <w:rFonts w:ascii="Times New Roman" w:hAnsi="Times New Roman" w:cs="Times New Roman"/>
        </w:rPr>
        <w:footnoteReference w:id="174"/>
      </w:r>
      <w:r w:rsidR="00752886">
        <w:rPr>
          <w:rFonts w:ascii="Times New Roman" w:hAnsi="Times New Roman" w:cs="Times New Roman"/>
        </w:rPr>
        <w:t xml:space="preserve"> </w:t>
      </w:r>
      <w:r w:rsidR="000C4A3B">
        <w:rPr>
          <w:rFonts w:ascii="Times New Roman" w:hAnsi="Times New Roman" w:cs="Times New Roman"/>
        </w:rPr>
        <w:t xml:space="preserve">For </w:t>
      </w:r>
      <w:r w:rsidR="00A445F6">
        <w:rPr>
          <w:rFonts w:ascii="Times New Roman" w:hAnsi="Times New Roman" w:cs="Times New Roman"/>
        </w:rPr>
        <w:t>B3</w:t>
      </w:r>
      <w:r w:rsidR="00615B75">
        <w:rPr>
          <w:rFonts w:ascii="Times New Roman" w:hAnsi="Times New Roman" w:cs="Times New Roman"/>
        </w:rPr>
        <w:t>, the argument is that</w:t>
      </w:r>
      <w:r w:rsidR="00187E92">
        <w:rPr>
          <w:rFonts w:ascii="Times New Roman" w:hAnsi="Times New Roman" w:cs="Times New Roman"/>
        </w:rPr>
        <w:t xml:space="preserve"> </w:t>
      </w:r>
      <w:r w:rsidR="00385805">
        <w:rPr>
          <w:rFonts w:ascii="Times New Roman" w:hAnsi="Times New Roman" w:cs="Times New Roman"/>
        </w:rPr>
        <w:t xml:space="preserve">the TJCA, through </w:t>
      </w:r>
      <w:r w:rsidR="00C167FE">
        <w:rPr>
          <w:rFonts w:ascii="Times New Roman" w:hAnsi="Times New Roman" w:cs="Times New Roman"/>
        </w:rPr>
        <w:t xml:space="preserve">the transition tax, </w:t>
      </w:r>
      <w:r w:rsidR="00A4278C">
        <w:rPr>
          <w:rFonts w:ascii="Times New Roman" w:hAnsi="Times New Roman" w:cs="Times New Roman"/>
        </w:rPr>
        <w:t>GILTI</w:t>
      </w:r>
      <w:r w:rsidR="00916258">
        <w:rPr>
          <w:rFonts w:ascii="Times New Roman" w:hAnsi="Times New Roman" w:cs="Times New Roman"/>
        </w:rPr>
        <w:t>,</w:t>
      </w:r>
      <w:r w:rsidR="00A4278C">
        <w:rPr>
          <w:rFonts w:ascii="Times New Roman" w:hAnsi="Times New Roman" w:cs="Times New Roman"/>
        </w:rPr>
        <w:t xml:space="preserve"> and Code Sec. 245A, effectively repealed deferral. </w:t>
      </w:r>
      <w:r w:rsidR="00C42F84">
        <w:rPr>
          <w:rFonts w:ascii="Times New Roman" w:hAnsi="Times New Roman" w:cs="Times New Roman"/>
        </w:rPr>
        <w:t>It is certainly true</w:t>
      </w:r>
      <w:r w:rsidR="008C4A75">
        <w:rPr>
          <w:rFonts w:ascii="Times New Roman" w:hAnsi="Times New Roman" w:cs="Times New Roman"/>
        </w:rPr>
        <w:t xml:space="preserve"> that</w:t>
      </w:r>
      <w:r w:rsidR="00CC0977">
        <w:rPr>
          <w:rFonts w:ascii="Times New Roman" w:hAnsi="Times New Roman" w:cs="Times New Roman"/>
        </w:rPr>
        <w:t>, after the TCJA,</w:t>
      </w:r>
      <w:r w:rsidR="008C4A75">
        <w:rPr>
          <w:rFonts w:ascii="Times New Roman" w:hAnsi="Times New Roman" w:cs="Times New Roman"/>
        </w:rPr>
        <w:t xml:space="preserve"> </w:t>
      </w:r>
      <w:r w:rsidR="006D796E">
        <w:rPr>
          <w:rFonts w:ascii="Times New Roman" w:hAnsi="Times New Roman" w:cs="Times New Roman"/>
        </w:rPr>
        <w:t xml:space="preserve">companies, in general, can repatriate </w:t>
      </w:r>
      <w:r w:rsidR="008062E0">
        <w:rPr>
          <w:rFonts w:ascii="Times New Roman" w:hAnsi="Times New Roman" w:cs="Times New Roman"/>
        </w:rPr>
        <w:t xml:space="preserve">much </w:t>
      </w:r>
      <w:r w:rsidR="00CC0977">
        <w:rPr>
          <w:rFonts w:ascii="Times New Roman" w:hAnsi="Times New Roman" w:cs="Times New Roman"/>
        </w:rPr>
        <w:t>more of</w:t>
      </w:r>
      <w:r w:rsidR="006D796E">
        <w:rPr>
          <w:rFonts w:ascii="Times New Roman" w:hAnsi="Times New Roman" w:cs="Times New Roman"/>
        </w:rPr>
        <w:t xml:space="preserve"> their</w:t>
      </w:r>
      <w:r w:rsidR="008C4A75">
        <w:rPr>
          <w:rFonts w:ascii="Times New Roman" w:hAnsi="Times New Roman" w:cs="Times New Roman"/>
        </w:rPr>
        <w:t xml:space="preserve"> </w:t>
      </w:r>
      <w:r w:rsidR="00CC0977">
        <w:rPr>
          <w:rFonts w:ascii="Times New Roman" w:hAnsi="Times New Roman" w:cs="Times New Roman"/>
        </w:rPr>
        <w:t>CFC E&amp;P</w:t>
      </w:r>
      <w:r w:rsidR="004C5906">
        <w:rPr>
          <w:rFonts w:ascii="Times New Roman" w:hAnsi="Times New Roman" w:cs="Times New Roman"/>
        </w:rPr>
        <w:t xml:space="preserve"> </w:t>
      </w:r>
      <w:r w:rsidR="008D4F0B">
        <w:rPr>
          <w:rFonts w:ascii="Times New Roman" w:hAnsi="Times New Roman" w:cs="Times New Roman"/>
        </w:rPr>
        <w:t>tax</w:t>
      </w:r>
      <w:r w:rsidR="00916258">
        <w:rPr>
          <w:rFonts w:ascii="Times New Roman" w:hAnsi="Times New Roman" w:cs="Times New Roman"/>
        </w:rPr>
        <w:t xml:space="preserve"> </w:t>
      </w:r>
      <w:r w:rsidR="008D4F0B">
        <w:rPr>
          <w:rFonts w:ascii="Times New Roman" w:hAnsi="Times New Roman" w:cs="Times New Roman"/>
        </w:rPr>
        <w:t>free</w:t>
      </w:r>
      <w:r w:rsidR="008C4A75">
        <w:rPr>
          <w:rFonts w:ascii="Times New Roman" w:hAnsi="Times New Roman" w:cs="Times New Roman"/>
        </w:rPr>
        <w:t xml:space="preserve"> </w:t>
      </w:r>
      <w:r w:rsidR="00515DA8">
        <w:rPr>
          <w:rFonts w:ascii="Times New Roman" w:hAnsi="Times New Roman" w:cs="Times New Roman"/>
        </w:rPr>
        <w:t>through</w:t>
      </w:r>
      <w:r w:rsidR="006D796E">
        <w:rPr>
          <w:rFonts w:ascii="Times New Roman" w:hAnsi="Times New Roman" w:cs="Times New Roman"/>
        </w:rPr>
        <w:t xml:space="preserve"> </w:t>
      </w:r>
      <w:r w:rsidR="00515DA8">
        <w:rPr>
          <w:rFonts w:ascii="Times New Roman" w:hAnsi="Times New Roman" w:cs="Times New Roman"/>
        </w:rPr>
        <w:t>ordinary distribution</w:t>
      </w:r>
      <w:r w:rsidR="006D796E">
        <w:rPr>
          <w:rFonts w:ascii="Times New Roman" w:hAnsi="Times New Roman" w:cs="Times New Roman"/>
        </w:rPr>
        <w:t>s</w:t>
      </w:r>
      <w:r w:rsidR="00A16D96">
        <w:rPr>
          <w:rFonts w:ascii="Times New Roman" w:hAnsi="Times New Roman" w:cs="Times New Roman"/>
        </w:rPr>
        <w:t xml:space="preserve">. </w:t>
      </w:r>
      <w:r w:rsidR="006D796E">
        <w:rPr>
          <w:rFonts w:ascii="Times New Roman" w:hAnsi="Times New Roman" w:cs="Times New Roman"/>
        </w:rPr>
        <w:t xml:space="preserve">For </w:t>
      </w:r>
      <w:r w:rsidR="00A16D96">
        <w:rPr>
          <w:rFonts w:ascii="Times New Roman" w:hAnsi="Times New Roman" w:cs="Times New Roman"/>
        </w:rPr>
        <w:t xml:space="preserve">most multinational groups, </w:t>
      </w:r>
      <w:r w:rsidR="004C730D">
        <w:rPr>
          <w:rFonts w:ascii="Times New Roman" w:hAnsi="Times New Roman" w:cs="Times New Roman"/>
        </w:rPr>
        <w:t xml:space="preserve">the vast majority of </w:t>
      </w:r>
      <w:r w:rsidR="00305BC8">
        <w:rPr>
          <w:rFonts w:ascii="Times New Roman" w:hAnsi="Times New Roman" w:cs="Times New Roman"/>
        </w:rPr>
        <w:t>E&amp;P o</w:t>
      </w:r>
      <w:r w:rsidR="00204943">
        <w:rPr>
          <w:rFonts w:ascii="Times New Roman" w:hAnsi="Times New Roman" w:cs="Times New Roman"/>
        </w:rPr>
        <w:t>f</w:t>
      </w:r>
      <w:r w:rsidR="00305BC8">
        <w:rPr>
          <w:rFonts w:ascii="Times New Roman" w:hAnsi="Times New Roman" w:cs="Times New Roman"/>
        </w:rPr>
        <w:t xml:space="preserve"> their </w:t>
      </w:r>
      <w:r w:rsidR="00597459">
        <w:rPr>
          <w:rFonts w:ascii="Times New Roman" w:hAnsi="Times New Roman" w:cs="Times New Roman"/>
        </w:rPr>
        <w:t xml:space="preserve">CFCs </w:t>
      </w:r>
      <w:r w:rsidR="005A5A84">
        <w:rPr>
          <w:rFonts w:ascii="Times New Roman" w:hAnsi="Times New Roman" w:cs="Times New Roman"/>
        </w:rPr>
        <w:t>is likely to</w:t>
      </w:r>
      <w:r w:rsidR="00305BC8">
        <w:rPr>
          <w:rFonts w:ascii="Times New Roman" w:hAnsi="Times New Roman" w:cs="Times New Roman"/>
        </w:rPr>
        <w:t xml:space="preserve"> be PTEP (from GILTI</w:t>
      </w:r>
      <w:r w:rsidR="00ED7344">
        <w:rPr>
          <w:rFonts w:ascii="Times New Roman" w:hAnsi="Times New Roman" w:cs="Times New Roman"/>
        </w:rPr>
        <w:t>, subpart F</w:t>
      </w:r>
      <w:r w:rsidR="00DF2AF6">
        <w:rPr>
          <w:rFonts w:ascii="Times New Roman" w:hAnsi="Times New Roman" w:cs="Times New Roman"/>
        </w:rPr>
        <w:t xml:space="preserve"> income</w:t>
      </w:r>
      <w:r w:rsidR="00ED7344">
        <w:rPr>
          <w:rFonts w:ascii="Times New Roman" w:hAnsi="Times New Roman" w:cs="Times New Roman"/>
        </w:rPr>
        <w:t xml:space="preserve">, </w:t>
      </w:r>
      <w:r w:rsidR="00305BC8">
        <w:rPr>
          <w:rFonts w:ascii="Times New Roman" w:hAnsi="Times New Roman" w:cs="Times New Roman"/>
        </w:rPr>
        <w:t xml:space="preserve">or </w:t>
      </w:r>
      <w:r w:rsidR="00ED7344">
        <w:rPr>
          <w:rFonts w:ascii="Times New Roman" w:hAnsi="Times New Roman" w:cs="Times New Roman"/>
        </w:rPr>
        <w:t>Code Sec. 965)</w:t>
      </w:r>
      <w:r w:rsidR="00F104BC">
        <w:rPr>
          <w:rFonts w:ascii="Times New Roman" w:hAnsi="Times New Roman" w:cs="Times New Roman"/>
        </w:rPr>
        <w:t xml:space="preserve"> or</w:t>
      </w:r>
      <w:r w:rsidR="006D796E">
        <w:rPr>
          <w:rFonts w:ascii="Times New Roman" w:hAnsi="Times New Roman" w:cs="Times New Roman"/>
        </w:rPr>
        <w:t xml:space="preserve"> untaxed</w:t>
      </w:r>
      <w:r w:rsidR="005A5A84" w:rsidDel="00AE0D43">
        <w:rPr>
          <w:rFonts w:ascii="Times New Roman" w:hAnsi="Times New Roman" w:cs="Times New Roman"/>
        </w:rPr>
        <w:t xml:space="preserve"> E&amp;P</w:t>
      </w:r>
      <w:r w:rsidR="00DF1C41">
        <w:rPr>
          <w:rFonts w:ascii="Times New Roman" w:hAnsi="Times New Roman" w:cs="Times New Roman"/>
        </w:rPr>
        <w:t xml:space="preserve"> eligible for a 245A DRD.</w:t>
      </w:r>
      <w:r w:rsidR="006D796E">
        <w:rPr>
          <w:rStyle w:val="FootnoteReference"/>
          <w:rFonts w:ascii="Times New Roman" w:hAnsi="Times New Roman" w:cs="Times New Roman"/>
        </w:rPr>
        <w:footnoteReference w:id="175"/>
      </w:r>
    </w:p>
    <w:p w14:paraId="5C5938C0" w14:textId="3747E39C" w:rsidR="002D4126" w:rsidRDefault="00A4278C" w:rsidP="0018066D">
      <w:pPr>
        <w:widowControl w:val="0"/>
        <w:spacing w:after="240" w:line="240" w:lineRule="auto"/>
        <w:rPr>
          <w:rFonts w:ascii="Times New Roman" w:hAnsi="Times New Roman" w:cs="Times New Roman"/>
        </w:rPr>
      </w:pPr>
      <w:r>
        <w:rPr>
          <w:rFonts w:ascii="Times New Roman" w:hAnsi="Times New Roman" w:cs="Times New Roman"/>
        </w:rPr>
        <w:t>But</w:t>
      </w:r>
      <w:r w:rsidR="00200405">
        <w:rPr>
          <w:rFonts w:ascii="Times New Roman" w:hAnsi="Times New Roman" w:cs="Times New Roman"/>
        </w:rPr>
        <w:t xml:space="preserve">, as we </w:t>
      </w:r>
      <w:r w:rsidR="0055322C">
        <w:rPr>
          <w:rFonts w:ascii="Times New Roman" w:hAnsi="Times New Roman" w:cs="Times New Roman"/>
        </w:rPr>
        <w:t>noted in the introduction,</w:t>
      </w:r>
      <w:r w:rsidR="00BF6287">
        <w:rPr>
          <w:rFonts w:ascii="Times New Roman" w:hAnsi="Times New Roman" w:cs="Times New Roman"/>
        </w:rPr>
        <w:t xml:space="preserve"> while</w:t>
      </w:r>
      <w:r w:rsidR="0055322C">
        <w:rPr>
          <w:rFonts w:ascii="Times New Roman" w:hAnsi="Times New Roman" w:cs="Times New Roman"/>
        </w:rPr>
        <w:t xml:space="preserve"> deferral </w:t>
      </w:r>
      <w:r w:rsidR="00FE1BB2">
        <w:rPr>
          <w:rFonts w:ascii="Times New Roman" w:hAnsi="Times New Roman" w:cs="Times New Roman"/>
        </w:rPr>
        <w:t xml:space="preserve">may </w:t>
      </w:r>
      <w:r w:rsidR="00295E7B">
        <w:rPr>
          <w:rFonts w:ascii="Times New Roman" w:hAnsi="Times New Roman" w:cs="Times New Roman"/>
        </w:rPr>
        <w:t>be on life-support</w:t>
      </w:r>
      <w:r w:rsidR="0055322C">
        <w:rPr>
          <w:rFonts w:ascii="Times New Roman" w:hAnsi="Times New Roman" w:cs="Times New Roman"/>
        </w:rPr>
        <w:t xml:space="preserve">, </w:t>
      </w:r>
      <w:r w:rsidR="00BF6287">
        <w:rPr>
          <w:rFonts w:ascii="Times New Roman" w:hAnsi="Times New Roman" w:cs="Times New Roman"/>
        </w:rPr>
        <w:t>it’s</w:t>
      </w:r>
      <w:r w:rsidR="0055322C">
        <w:rPr>
          <w:rFonts w:ascii="Times New Roman" w:hAnsi="Times New Roman" w:cs="Times New Roman"/>
        </w:rPr>
        <w:t xml:space="preserve"> not </w:t>
      </w:r>
      <w:r w:rsidR="006D796E">
        <w:rPr>
          <w:rFonts w:ascii="Times New Roman" w:hAnsi="Times New Roman" w:cs="Times New Roman"/>
        </w:rPr>
        <w:t xml:space="preserve">quite </w:t>
      </w:r>
      <w:r w:rsidR="0055322C">
        <w:rPr>
          <w:rFonts w:ascii="Times New Roman" w:hAnsi="Times New Roman" w:cs="Times New Roman"/>
        </w:rPr>
        <w:t xml:space="preserve">dead yet. </w:t>
      </w:r>
      <w:r w:rsidR="005F5F03">
        <w:rPr>
          <w:rFonts w:ascii="Times New Roman" w:hAnsi="Times New Roman" w:cs="Times New Roman"/>
        </w:rPr>
        <w:t>Individual U.S. shareholder</w:t>
      </w:r>
      <w:r w:rsidR="00751BFD">
        <w:rPr>
          <w:rFonts w:ascii="Times New Roman" w:hAnsi="Times New Roman" w:cs="Times New Roman"/>
        </w:rPr>
        <w:t xml:space="preserve">s </w:t>
      </w:r>
      <w:r w:rsidR="005F5F03">
        <w:rPr>
          <w:rFonts w:ascii="Times New Roman" w:hAnsi="Times New Roman" w:cs="Times New Roman"/>
        </w:rPr>
        <w:t xml:space="preserve">still benefit from deferral with respect to the </w:t>
      </w:r>
      <w:r w:rsidR="00811357">
        <w:rPr>
          <w:rFonts w:ascii="Times New Roman" w:hAnsi="Times New Roman" w:cs="Times New Roman"/>
        </w:rPr>
        <w:t>untaxed E&amp;P</w:t>
      </w:r>
      <w:r w:rsidR="005F5F03">
        <w:rPr>
          <w:rFonts w:ascii="Times New Roman" w:hAnsi="Times New Roman" w:cs="Times New Roman"/>
        </w:rPr>
        <w:t xml:space="preserve"> of their </w:t>
      </w:r>
      <w:r w:rsidR="00ED63F1">
        <w:rPr>
          <w:rFonts w:ascii="Times New Roman" w:hAnsi="Times New Roman" w:cs="Times New Roman"/>
        </w:rPr>
        <w:t>CFCs, and</w:t>
      </w:r>
      <w:r w:rsidR="006448B7">
        <w:rPr>
          <w:rFonts w:ascii="Times New Roman" w:hAnsi="Times New Roman" w:cs="Times New Roman"/>
        </w:rPr>
        <w:t xml:space="preserve">, by reason of the GILTI high-tax exception, along with QBAI and tested losses (and </w:t>
      </w:r>
      <w:r w:rsidR="005A27D3">
        <w:rPr>
          <w:rFonts w:ascii="Times New Roman" w:hAnsi="Times New Roman" w:cs="Times New Roman"/>
        </w:rPr>
        <w:t>FOGEI</w:t>
      </w:r>
      <w:r w:rsidR="006448B7">
        <w:rPr>
          <w:rFonts w:ascii="Times New Roman" w:hAnsi="Times New Roman" w:cs="Times New Roman"/>
        </w:rPr>
        <w:t>, for taxpayers</w:t>
      </w:r>
      <w:r w:rsidR="005A27D3">
        <w:rPr>
          <w:rFonts w:ascii="Times New Roman" w:hAnsi="Times New Roman" w:cs="Times New Roman"/>
        </w:rPr>
        <w:t xml:space="preserve"> in the oil and gas industry</w:t>
      </w:r>
      <w:r w:rsidR="006448B7">
        <w:rPr>
          <w:rFonts w:ascii="Times New Roman" w:hAnsi="Times New Roman" w:cs="Times New Roman"/>
        </w:rPr>
        <w:t>)</w:t>
      </w:r>
      <w:r w:rsidR="001816AE">
        <w:rPr>
          <w:rFonts w:ascii="Times New Roman" w:hAnsi="Times New Roman" w:cs="Times New Roman"/>
        </w:rPr>
        <w:t xml:space="preserve">, </w:t>
      </w:r>
      <w:r w:rsidR="00F85C24">
        <w:rPr>
          <w:rFonts w:ascii="Times New Roman" w:hAnsi="Times New Roman" w:cs="Times New Roman"/>
        </w:rPr>
        <w:t xml:space="preserve">untaxed </w:t>
      </w:r>
      <w:r w:rsidR="00C372D7">
        <w:rPr>
          <w:rFonts w:ascii="Times New Roman" w:hAnsi="Times New Roman" w:cs="Times New Roman"/>
        </w:rPr>
        <w:t xml:space="preserve">E&amp;P </w:t>
      </w:r>
      <w:r w:rsidR="008A77A5">
        <w:rPr>
          <w:rFonts w:ascii="Times New Roman" w:hAnsi="Times New Roman" w:cs="Times New Roman"/>
        </w:rPr>
        <w:t xml:space="preserve">on </w:t>
      </w:r>
      <w:r w:rsidR="00F85C24">
        <w:rPr>
          <w:rFonts w:ascii="Times New Roman" w:hAnsi="Times New Roman" w:cs="Times New Roman"/>
        </w:rPr>
        <w:t xml:space="preserve">which </w:t>
      </w:r>
      <w:r w:rsidR="008A77A5">
        <w:rPr>
          <w:rFonts w:ascii="Times New Roman" w:hAnsi="Times New Roman" w:cs="Times New Roman"/>
        </w:rPr>
        <w:t xml:space="preserve">U.S. </w:t>
      </w:r>
      <w:r w:rsidR="00F85C24">
        <w:rPr>
          <w:rFonts w:ascii="Times New Roman" w:hAnsi="Times New Roman" w:cs="Times New Roman"/>
        </w:rPr>
        <w:t xml:space="preserve">tax </w:t>
      </w:r>
      <w:r w:rsidR="008A77A5">
        <w:rPr>
          <w:rFonts w:ascii="Times New Roman" w:hAnsi="Times New Roman" w:cs="Times New Roman"/>
        </w:rPr>
        <w:t xml:space="preserve">will only be </w:t>
      </w:r>
      <w:r w:rsidR="00F85C24">
        <w:rPr>
          <w:rFonts w:ascii="Times New Roman" w:hAnsi="Times New Roman" w:cs="Times New Roman"/>
        </w:rPr>
        <w:t>paid upon repatriation</w:t>
      </w:r>
      <w:r w:rsidR="00C27A73">
        <w:rPr>
          <w:rFonts w:ascii="Times New Roman" w:hAnsi="Times New Roman" w:cs="Times New Roman"/>
        </w:rPr>
        <w:t xml:space="preserve"> </w:t>
      </w:r>
      <w:r w:rsidR="00C372D7">
        <w:rPr>
          <w:rFonts w:ascii="Times New Roman" w:hAnsi="Times New Roman" w:cs="Times New Roman"/>
        </w:rPr>
        <w:t>(</w:t>
      </w:r>
      <w:r w:rsidR="001816AE">
        <w:rPr>
          <w:rFonts w:ascii="Times New Roman" w:hAnsi="Times New Roman" w:cs="Times New Roman"/>
        </w:rPr>
        <w:t>“</w:t>
      </w:r>
      <w:r w:rsidR="001816AE" w:rsidRPr="00704ED2">
        <w:rPr>
          <w:rFonts w:ascii="Times New Roman" w:hAnsi="Times New Roman" w:cs="Times New Roman"/>
          <w:b/>
          <w:bCs/>
        </w:rPr>
        <w:t>deferral E&amp;P</w:t>
      </w:r>
      <w:r w:rsidR="001816AE">
        <w:rPr>
          <w:rFonts w:ascii="Times New Roman" w:hAnsi="Times New Roman" w:cs="Times New Roman"/>
        </w:rPr>
        <w:t>”</w:t>
      </w:r>
      <w:r w:rsidR="00C372D7">
        <w:rPr>
          <w:rFonts w:ascii="Times New Roman" w:hAnsi="Times New Roman" w:cs="Times New Roman"/>
        </w:rPr>
        <w:t>)</w:t>
      </w:r>
      <w:r w:rsidR="001816AE">
        <w:rPr>
          <w:rFonts w:ascii="Times New Roman" w:hAnsi="Times New Roman" w:cs="Times New Roman"/>
        </w:rPr>
        <w:t xml:space="preserve"> </w:t>
      </w:r>
      <w:r w:rsidR="00F85C24">
        <w:rPr>
          <w:rFonts w:ascii="Times New Roman" w:hAnsi="Times New Roman" w:cs="Times New Roman"/>
        </w:rPr>
        <w:t>are</w:t>
      </w:r>
      <w:r w:rsidR="00C27A73">
        <w:rPr>
          <w:rFonts w:ascii="Times New Roman" w:hAnsi="Times New Roman" w:cs="Times New Roman"/>
        </w:rPr>
        <w:t xml:space="preserve"> not</w:t>
      </w:r>
      <w:r w:rsidR="001816AE">
        <w:rPr>
          <w:rFonts w:ascii="Times New Roman" w:hAnsi="Times New Roman" w:cs="Times New Roman"/>
        </w:rPr>
        <w:t xml:space="preserve"> rare for some taxpayers. </w:t>
      </w:r>
      <w:r w:rsidR="003645C6">
        <w:rPr>
          <w:rFonts w:ascii="Times New Roman" w:hAnsi="Times New Roman" w:cs="Times New Roman"/>
        </w:rPr>
        <w:t xml:space="preserve">Because </w:t>
      </w:r>
      <w:r w:rsidR="005A5A84">
        <w:rPr>
          <w:rFonts w:ascii="Times New Roman" w:hAnsi="Times New Roman" w:cs="Times New Roman"/>
        </w:rPr>
        <w:t xml:space="preserve">individuals </w:t>
      </w:r>
      <w:r w:rsidR="003645C6">
        <w:rPr>
          <w:rFonts w:ascii="Times New Roman" w:hAnsi="Times New Roman" w:cs="Times New Roman"/>
        </w:rPr>
        <w:t xml:space="preserve">cannot obtain a 245A DRD, all </w:t>
      </w:r>
      <w:r w:rsidR="00F85C24">
        <w:rPr>
          <w:rFonts w:ascii="Times New Roman" w:hAnsi="Times New Roman" w:cs="Times New Roman"/>
        </w:rPr>
        <w:t xml:space="preserve">untaxed E&amp;P of an individual </w:t>
      </w:r>
      <w:r w:rsidR="003645C6">
        <w:rPr>
          <w:rFonts w:ascii="Times New Roman" w:hAnsi="Times New Roman" w:cs="Times New Roman"/>
        </w:rPr>
        <w:t>U.S. shareholder are deferral E&amp;P</w:t>
      </w:r>
      <w:r w:rsidR="00567635">
        <w:rPr>
          <w:rFonts w:ascii="Times New Roman" w:hAnsi="Times New Roman" w:cs="Times New Roman"/>
        </w:rPr>
        <w:t xml:space="preserve">. </w:t>
      </w:r>
      <w:r w:rsidR="003645C6">
        <w:rPr>
          <w:rFonts w:ascii="Times New Roman" w:hAnsi="Times New Roman" w:cs="Times New Roman"/>
        </w:rPr>
        <w:t>But e</w:t>
      </w:r>
      <w:r w:rsidR="003F095C">
        <w:rPr>
          <w:rFonts w:ascii="Times New Roman" w:hAnsi="Times New Roman" w:cs="Times New Roman"/>
        </w:rPr>
        <w:t>ven corporate U.S. shareholder</w:t>
      </w:r>
      <w:r w:rsidR="00F85C24">
        <w:rPr>
          <w:rFonts w:ascii="Times New Roman" w:hAnsi="Times New Roman" w:cs="Times New Roman"/>
        </w:rPr>
        <w:t>s can have deferral E&amp;P</w:t>
      </w:r>
      <w:r w:rsidR="004B0B91">
        <w:rPr>
          <w:rFonts w:ascii="Times New Roman" w:hAnsi="Times New Roman" w:cs="Times New Roman"/>
        </w:rPr>
        <w:t xml:space="preserve">. For instance, a corporate U.S. shareholder could have </w:t>
      </w:r>
      <w:r w:rsidR="00487ABE">
        <w:rPr>
          <w:rFonts w:ascii="Times New Roman" w:hAnsi="Times New Roman" w:cs="Times New Roman"/>
        </w:rPr>
        <w:t>an EDA or HDA with respect to</w:t>
      </w:r>
      <w:r w:rsidR="00987379">
        <w:rPr>
          <w:rFonts w:ascii="Times New Roman" w:hAnsi="Times New Roman" w:cs="Times New Roman"/>
        </w:rPr>
        <w:t xml:space="preserve"> a</w:t>
      </w:r>
      <w:r w:rsidR="00487ABE">
        <w:rPr>
          <w:rFonts w:ascii="Times New Roman" w:hAnsi="Times New Roman" w:cs="Times New Roman"/>
        </w:rPr>
        <w:t xml:space="preserve"> CFC,</w:t>
      </w:r>
      <w:r w:rsidR="00BD34A4">
        <w:rPr>
          <w:rFonts w:ascii="Times New Roman" w:hAnsi="Times New Roman" w:cs="Times New Roman"/>
        </w:rPr>
        <w:t xml:space="preserve"> or not have satisfied the 245A holding period requirement</w:t>
      </w:r>
      <w:r w:rsidR="00987379">
        <w:rPr>
          <w:rFonts w:ascii="Times New Roman" w:hAnsi="Times New Roman" w:cs="Times New Roman"/>
        </w:rPr>
        <w:t xml:space="preserve"> with respect to the CFC</w:t>
      </w:r>
      <w:r w:rsidR="00BD34A4">
        <w:rPr>
          <w:rFonts w:ascii="Times New Roman" w:hAnsi="Times New Roman" w:cs="Times New Roman"/>
        </w:rPr>
        <w:t>,</w:t>
      </w:r>
      <w:r w:rsidR="00487ABE">
        <w:rPr>
          <w:rFonts w:ascii="Times New Roman" w:hAnsi="Times New Roman" w:cs="Times New Roman"/>
        </w:rPr>
        <w:t xml:space="preserve"> </w:t>
      </w:r>
      <w:r w:rsidR="00987379">
        <w:rPr>
          <w:rFonts w:ascii="Times New Roman" w:hAnsi="Times New Roman" w:cs="Times New Roman"/>
        </w:rPr>
        <w:t>or the CFC could have</w:t>
      </w:r>
      <w:r w:rsidR="00A725F4">
        <w:rPr>
          <w:rFonts w:ascii="Times New Roman" w:hAnsi="Times New Roman" w:cs="Times New Roman"/>
        </w:rPr>
        <w:t xml:space="preserve"> </w:t>
      </w:r>
      <w:r w:rsidR="00987379">
        <w:rPr>
          <w:rFonts w:ascii="Times New Roman" w:hAnsi="Times New Roman" w:cs="Times New Roman"/>
        </w:rPr>
        <w:t xml:space="preserve">pre-acquisition </w:t>
      </w:r>
      <w:r w:rsidR="0069353E">
        <w:rPr>
          <w:rFonts w:ascii="Times New Roman" w:hAnsi="Times New Roman" w:cs="Times New Roman"/>
        </w:rPr>
        <w:t xml:space="preserve">U.S. </w:t>
      </w:r>
      <w:r w:rsidR="00987379">
        <w:rPr>
          <w:rFonts w:ascii="Times New Roman" w:hAnsi="Times New Roman" w:cs="Times New Roman"/>
        </w:rPr>
        <w:t xml:space="preserve">E&amp;P, </w:t>
      </w:r>
      <w:r w:rsidR="00987379">
        <w:rPr>
          <w:rFonts w:ascii="Times New Roman" w:hAnsi="Times New Roman" w:cs="Times New Roman"/>
          <w:i/>
          <w:iCs/>
        </w:rPr>
        <w:t xml:space="preserve">i.e., </w:t>
      </w:r>
      <w:r w:rsidR="00987379">
        <w:rPr>
          <w:rFonts w:ascii="Times New Roman" w:hAnsi="Times New Roman" w:cs="Times New Roman"/>
        </w:rPr>
        <w:t>E&amp;P from ECI or 80 percent-owned domestic corporations – in all these cases, distributions from the CFC</w:t>
      </w:r>
      <w:r w:rsidR="00A725F4">
        <w:rPr>
          <w:rFonts w:ascii="Times New Roman" w:hAnsi="Times New Roman" w:cs="Times New Roman"/>
        </w:rPr>
        <w:t xml:space="preserve"> would</w:t>
      </w:r>
      <w:r w:rsidR="0069353E">
        <w:rPr>
          <w:rFonts w:ascii="Times New Roman" w:hAnsi="Times New Roman" w:cs="Times New Roman"/>
        </w:rPr>
        <w:t xml:space="preserve"> be denied a 245A DRD</w:t>
      </w:r>
      <w:r w:rsidR="00487ABE">
        <w:rPr>
          <w:rFonts w:ascii="Times New Roman" w:hAnsi="Times New Roman" w:cs="Times New Roman"/>
        </w:rPr>
        <w:t>.</w:t>
      </w:r>
      <w:r w:rsidR="004843B6">
        <w:rPr>
          <w:rStyle w:val="FootnoteReference"/>
          <w:rFonts w:ascii="Times New Roman" w:hAnsi="Times New Roman" w:cs="Times New Roman"/>
        </w:rPr>
        <w:footnoteReference w:id="176"/>
      </w:r>
      <w:r w:rsidR="00487ABE">
        <w:rPr>
          <w:rFonts w:ascii="Times New Roman" w:hAnsi="Times New Roman" w:cs="Times New Roman"/>
        </w:rPr>
        <w:t xml:space="preserve"> </w:t>
      </w:r>
      <w:r w:rsidR="007E5676">
        <w:rPr>
          <w:rFonts w:ascii="Times New Roman" w:hAnsi="Times New Roman" w:cs="Times New Roman"/>
        </w:rPr>
        <w:t xml:space="preserve">Thus, </w:t>
      </w:r>
      <w:r w:rsidR="0026102B">
        <w:rPr>
          <w:rFonts w:ascii="Times New Roman" w:hAnsi="Times New Roman" w:cs="Times New Roman"/>
        </w:rPr>
        <w:t xml:space="preserve">while the magnitude of the concern </w:t>
      </w:r>
      <w:r w:rsidR="0094079A">
        <w:rPr>
          <w:rFonts w:ascii="Times New Roman" w:hAnsi="Times New Roman" w:cs="Times New Roman"/>
        </w:rPr>
        <w:t>motivating B3 has been greatly</w:t>
      </w:r>
      <w:r w:rsidR="0026102B">
        <w:rPr>
          <w:rFonts w:ascii="Times New Roman" w:hAnsi="Times New Roman" w:cs="Times New Roman"/>
        </w:rPr>
        <w:t xml:space="preserve"> diminished, </w:t>
      </w:r>
      <w:r w:rsidR="00B43C43">
        <w:rPr>
          <w:rFonts w:ascii="Times New Roman" w:hAnsi="Times New Roman" w:cs="Times New Roman"/>
        </w:rPr>
        <w:t xml:space="preserve">it </w:t>
      </w:r>
      <w:r w:rsidR="00BD34A4">
        <w:rPr>
          <w:rFonts w:ascii="Times New Roman" w:hAnsi="Times New Roman" w:cs="Times New Roman"/>
        </w:rPr>
        <w:t>is not</w:t>
      </w:r>
      <w:r w:rsidR="00B43C43">
        <w:rPr>
          <w:rFonts w:ascii="Times New Roman" w:hAnsi="Times New Roman" w:cs="Times New Roman"/>
        </w:rPr>
        <w:t xml:space="preserve"> unreasonable for </w:t>
      </w:r>
      <w:r w:rsidR="00B43C43">
        <w:rPr>
          <w:rFonts w:ascii="Times New Roman" w:hAnsi="Times New Roman" w:cs="Times New Roman"/>
        </w:rPr>
        <w:lastRenderedPageBreak/>
        <w:t xml:space="preserve">the government to believe that </w:t>
      </w:r>
      <w:r w:rsidR="005E7E72">
        <w:rPr>
          <w:rFonts w:ascii="Times New Roman" w:hAnsi="Times New Roman" w:cs="Times New Roman"/>
        </w:rPr>
        <w:t>B3 still has a role to play.</w:t>
      </w:r>
      <w:r w:rsidR="00BD34A4">
        <w:rPr>
          <w:rStyle w:val="FootnoteReference"/>
          <w:rFonts w:ascii="Times New Roman" w:hAnsi="Times New Roman" w:cs="Times New Roman"/>
        </w:rPr>
        <w:footnoteReference w:id="177"/>
      </w:r>
    </w:p>
    <w:p w14:paraId="0CF0A537" w14:textId="2B4CB2BF" w:rsidR="005E7B5F" w:rsidRDefault="005366D7" w:rsidP="0018066D">
      <w:pPr>
        <w:widowControl w:val="0"/>
        <w:spacing w:after="240" w:line="240" w:lineRule="auto"/>
        <w:rPr>
          <w:rFonts w:ascii="Times New Roman" w:hAnsi="Times New Roman" w:cs="Times New Roman"/>
        </w:rPr>
      </w:pPr>
      <w:r>
        <w:rPr>
          <w:rFonts w:ascii="Times New Roman" w:hAnsi="Times New Roman" w:cs="Times New Roman"/>
        </w:rPr>
        <w:t xml:space="preserve">The argument in favor of withdrawing B4 </w:t>
      </w:r>
      <w:r w:rsidR="00BD34A4">
        <w:rPr>
          <w:rFonts w:ascii="Times New Roman" w:hAnsi="Times New Roman" w:cs="Times New Roman"/>
        </w:rPr>
        <w:t>is perhaps more persuasive</w:t>
      </w:r>
      <w:r w:rsidR="002B459B">
        <w:rPr>
          <w:rFonts w:ascii="Times New Roman" w:hAnsi="Times New Roman" w:cs="Times New Roman"/>
        </w:rPr>
        <w:t xml:space="preserve">. </w:t>
      </w:r>
      <w:r w:rsidR="00C05ABA">
        <w:rPr>
          <w:rFonts w:ascii="Times New Roman" w:hAnsi="Times New Roman" w:cs="Times New Roman"/>
        </w:rPr>
        <w:t xml:space="preserve">The argument </w:t>
      </w:r>
      <w:r w:rsidR="004155A4">
        <w:rPr>
          <w:rFonts w:ascii="Times New Roman" w:hAnsi="Times New Roman" w:cs="Times New Roman"/>
        </w:rPr>
        <w:t>is</w:t>
      </w:r>
      <w:r w:rsidR="00C05ABA">
        <w:rPr>
          <w:rFonts w:ascii="Times New Roman" w:hAnsi="Times New Roman" w:cs="Times New Roman"/>
        </w:rPr>
        <w:t xml:space="preserve"> that, if B4 is </w:t>
      </w:r>
      <w:r w:rsidR="004155A4">
        <w:rPr>
          <w:rFonts w:ascii="Times New Roman" w:hAnsi="Times New Roman" w:cs="Times New Roman"/>
        </w:rPr>
        <w:t xml:space="preserve">intended </w:t>
      </w:r>
      <w:r w:rsidR="00C05ABA">
        <w:rPr>
          <w:rFonts w:ascii="Times New Roman" w:hAnsi="Times New Roman" w:cs="Times New Roman"/>
        </w:rPr>
        <w:t>to prevent</w:t>
      </w:r>
      <w:r w:rsidR="0054418B">
        <w:rPr>
          <w:rFonts w:ascii="Times New Roman" w:hAnsi="Times New Roman" w:cs="Times New Roman"/>
        </w:rPr>
        <w:t xml:space="preserve"> a “material distortion” in the context of</w:t>
      </w:r>
      <w:r w:rsidR="00C05ABA">
        <w:rPr>
          <w:rFonts w:ascii="Times New Roman" w:hAnsi="Times New Roman" w:cs="Times New Roman"/>
        </w:rPr>
        <w:t xml:space="preserve"> </w:t>
      </w:r>
      <w:r w:rsidR="004155A4">
        <w:rPr>
          <w:rFonts w:ascii="Times New Roman" w:hAnsi="Times New Roman" w:cs="Times New Roman"/>
        </w:rPr>
        <w:t>nonrecognition transactions</w:t>
      </w:r>
      <w:r w:rsidR="00C05ABA">
        <w:rPr>
          <w:rFonts w:ascii="Times New Roman" w:hAnsi="Times New Roman" w:cs="Times New Roman"/>
        </w:rPr>
        <w:t xml:space="preserve">, </w:t>
      </w:r>
      <w:r w:rsidR="004155A4">
        <w:rPr>
          <w:rFonts w:ascii="Times New Roman" w:hAnsi="Times New Roman" w:cs="Times New Roman"/>
        </w:rPr>
        <w:t>the</w:t>
      </w:r>
      <w:r w:rsidR="00E10041">
        <w:rPr>
          <w:rFonts w:ascii="Times New Roman" w:hAnsi="Times New Roman" w:cs="Times New Roman"/>
        </w:rPr>
        <w:t>n the</w:t>
      </w:r>
      <w:r w:rsidR="004155A4">
        <w:rPr>
          <w:rFonts w:ascii="Times New Roman" w:hAnsi="Times New Roman" w:cs="Times New Roman"/>
        </w:rPr>
        <w:t xml:space="preserve"> cure is </w:t>
      </w:r>
      <w:r w:rsidR="00AE0D43">
        <w:rPr>
          <w:rFonts w:ascii="Times New Roman" w:hAnsi="Times New Roman" w:cs="Times New Roman"/>
        </w:rPr>
        <w:t xml:space="preserve">arguably </w:t>
      </w:r>
      <w:r w:rsidR="004155A4">
        <w:rPr>
          <w:rFonts w:ascii="Times New Roman" w:hAnsi="Times New Roman" w:cs="Times New Roman"/>
        </w:rPr>
        <w:t>worse than the disease</w:t>
      </w:r>
      <w:r w:rsidR="00585327">
        <w:rPr>
          <w:rFonts w:ascii="Times New Roman" w:hAnsi="Times New Roman" w:cs="Times New Roman"/>
        </w:rPr>
        <w:t xml:space="preserve"> under current law</w:t>
      </w:r>
      <w:r w:rsidR="004155A4">
        <w:rPr>
          <w:rFonts w:ascii="Times New Roman" w:hAnsi="Times New Roman" w:cs="Times New Roman"/>
        </w:rPr>
        <w:t xml:space="preserve">. </w:t>
      </w:r>
      <w:r w:rsidR="00E10041">
        <w:rPr>
          <w:rFonts w:ascii="Times New Roman" w:hAnsi="Times New Roman" w:cs="Times New Roman"/>
        </w:rPr>
        <w:t xml:space="preserve">As indicated in the preamble to the proposed regulations, </w:t>
      </w:r>
      <w:r w:rsidR="0094079A">
        <w:rPr>
          <w:rFonts w:ascii="Times New Roman" w:hAnsi="Times New Roman" w:cs="Times New Roman"/>
        </w:rPr>
        <w:t xml:space="preserve">a material </w:t>
      </w:r>
      <w:r w:rsidR="00E10041">
        <w:rPr>
          <w:rFonts w:ascii="Times New Roman" w:hAnsi="Times New Roman" w:cs="Times New Roman"/>
        </w:rPr>
        <w:t xml:space="preserve">distortion </w:t>
      </w:r>
      <w:r w:rsidR="006D6CB6">
        <w:rPr>
          <w:rFonts w:ascii="Times New Roman" w:hAnsi="Times New Roman" w:cs="Times New Roman"/>
        </w:rPr>
        <w:t xml:space="preserve">for this purpose can </w:t>
      </w:r>
      <w:r w:rsidR="00E10041">
        <w:rPr>
          <w:rFonts w:ascii="Times New Roman" w:hAnsi="Times New Roman" w:cs="Times New Roman"/>
        </w:rPr>
        <w:t>include</w:t>
      </w:r>
      <w:r w:rsidR="006D6CB6">
        <w:rPr>
          <w:rFonts w:ascii="Times New Roman" w:hAnsi="Times New Roman" w:cs="Times New Roman"/>
        </w:rPr>
        <w:t xml:space="preserve"> “</w:t>
      </w:r>
      <w:r w:rsidR="00E10041" w:rsidRPr="00B40450">
        <w:rPr>
          <w:rFonts w:ascii="Times New Roman" w:hAnsi="Times New Roman" w:cs="Times New Roman"/>
        </w:rPr>
        <w:t xml:space="preserve">a distortion relating to the source, character, amount or </w:t>
      </w:r>
      <w:r w:rsidR="00E10041" w:rsidRPr="006D6CB6">
        <w:rPr>
          <w:rFonts w:ascii="Times New Roman" w:hAnsi="Times New Roman" w:cs="Times New Roman"/>
          <w:i/>
          <w:iCs/>
        </w:rPr>
        <w:t>timing</w:t>
      </w:r>
      <w:r w:rsidR="00E10041" w:rsidRPr="00B40450">
        <w:rPr>
          <w:rFonts w:ascii="Times New Roman" w:hAnsi="Times New Roman" w:cs="Times New Roman"/>
        </w:rPr>
        <w:t xml:space="preserve"> of any item</w:t>
      </w:r>
      <w:r w:rsidR="006D6CB6">
        <w:rPr>
          <w:rFonts w:ascii="Times New Roman" w:hAnsi="Times New Roman" w:cs="Times New Roman"/>
        </w:rPr>
        <w:t>.”</w:t>
      </w:r>
      <w:bookmarkStart w:id="15" w:name="OLE_LINK4"/>
      <w:r w:rsidR="006D6CB6">
        <w:rPr>
          <w:rStyle w:val="FootnoteReference"/>
          <w:rFonts w:ascii="Times New Roman" w:hAnsi="Times New Roman" w:cs="Times New Roman"/>
        </w:rPr>
        <w:footnoteReference w:id="178"/>
      </w:r>
      <w:bookmarkEnd w:id="15"/>
      <w:r w:rsidR="00DA05AA">
        <w:rPr>
          <w:rFonts w:ascii="Times New Roman" w:hAnsi="Times New Roman" w:cs="Times New Roman"/>
        </w:rPr>
        <w:t xml:space="preserve"> </w:t>
      </w:r>
      <w:r w:rsidR="00585327">
        <w:rPr>
          <w:rFonts w:ascii="Times New Roman" w:hAnsi="Times New Roman" w:cs="Times New Roman"/>
        </w:rPr>
        <w:t>Based on this definition</w:t>
      </w:r>
      <w:r w:rsidR="00216B7A">
        <w:rPr>
          <w:rFonts w:ascii="Times New Roman" w:hAnsi="Times New Roman" w:cs="Times New Roman"/>
        </w:rPr>
        <w:t xml:space="preserve">, B4 </w:t>
      </w:r>
      <w:r w:rsidR="00585327">
        <w:rPr>
          <w:rFonts w:ascii="Times New Roman" w:hAnsi="Times New Roman" w:cs="Times New Roman"/>
        </w:rPr>
        <w:t xml:space="preserve">is </w:t>
      </w:r>
      <w:r w:rsidR="00216B7A">
        <w:rPr>
          <w:rFonts w:ascii="Times New Roman" w:hAnsi="Times New Roman" w:cs="Times New Roman"/>
        </w:rPr>
        <w:t xml:space="preserve">itself </w:t>
      </w:r>
      <w:r w:rsidR="00585327">
        <w:rPr>
          <w:rFonts w:ascii="Times New Roman" w:hAnsi="Times New Roman" w:cs="Times New Roman"/>
        </w:rPr>
        <w:t xml:space="preserve">distortive; </w:t>
      </w:r>
      <w:r w:rsidR="00216B7A">
        <w:rPr>
          <w:rFonts w:ascii="Times New Roman" w:hAnsi="Times New Roman" w:cs="Times New Roman"/>
        </w:rPr>
        <w:t xml:space="preserve">by overriding subchapter C </w:t>
      </w:r>
      <w:r w:rsidR="00AE0D43">
        <w:rPr>
          <w:rFonts w:ascii="Times New Roman" w:hAnsi="Times New Roman" w:cs="Times New Roman"/>
        </w:rPr>
        <w:t>with respect to</w:t>
      </w:r>
      <w:r w:rsidR="00043AD6">
        <w:rPr>
          <w:rFonts w:ascii="Times New Roman" w:hAnsi="Times New Roman" w:cs="Times New Roman"/>
        </w:rPr>
        <w:t xml:space="preserve"> a cashless nonrecognition transaction</w:t>
      </w:r>
      <w:r w:rsidR="00585327">
        <w:rPr>
          <w:rFonts w:ascii="Times New Roman" w:hAnsi="Times New Roman" w:cs="Times New Roman"/>
        </w:rPr>
        <w:t>, B4 is distorting the timing of</w:t>
      </w:r>
      <w:r w:rsidR="00AE0D43">
        <w:rPr>
          <w:rFonts w:ascii="Times New Roman" w:hAnsi="Times New Roman" w:cs="Times New Roman"/>
        </w:rPr>
        <w:t xml:space="preserve"> the shareholder’s</w:t>
      </w:r>
      <w:r w:rsidR="00585327">
        <w:rPr>
          <w:rFonts w:ascii="Times New Roman" w:hAnsi="Times New Roman" w:cs="Times New Roman"/>
        </w:rPr>
        <w:t xml:space="preserve"> income</w:t>
      </w:r>
      <w:r w:rsidR="00B41169">
        <w:rPr>
          <w:rFonts w:ascii="Times New Roman" w:hAnsi="Times New Roman" w:cs="Times New Roman"/>
        </w:rPr>
        <w:t xml:space="preserve">. </w:t>
      </w:r>
      <w:r w:rsidR="006B3FB8">
        <w:rPr>
          <w:rFonts w:ascii="Times New Roman" w:hAnsi="Times New Roman" w:cs="Times New Roman"/>
        </w:rPr>
        <w:t>Never</w:t>
      </w:r>
      <w:r w:rsidR="00554521">
        <w:rPr>
          <w:rFonts w:ascii="Times New Roman" w:hAnsi="Times New Roman" w:cs="Times New Roman"/>
        </w:rPr>
        <w:t>t</w:t>
      </w:r>
      <w:r w:rsidR="006B3FB8">
        <w:rPr>
          <w:rFonts w:ascii="Times New Roman" w:hAnsi="Times New Roman" w:cs="Times New Roman"/>
        </w:rPr>
        <w:t xml:space="preserve">heless, </w:t>
      </w:r>
      <w:r w:rsidR="00A725F4">
        <w:rPr>
          <w:rFonts w:ascii="Times New Roman" w:hAnsi="Times New Roman" w:cs="Times New Roman"/>
        </w:rPr>
        <w:t xml:space="preserve">for </w:t>
      </w:r>
      <w:r w:rsidR="00B41169">
        <w:rPr>
          <w:rFonts w:ascii="Times New Roman" w:hAnsi="Times New Roman" w:cs="Times New Roman"/>
        </w:rPr>
        <w:t xml:space="preserve">most of </w:t>
      </w:r>
      <w:r w:rsidR="00585327">
        <w:rPr>
          <w:rFonts w:ascii="Times New Roman" w:hAnsi="Times New Roman" w:cs="Times New Roman"/>
        </w:rPr>
        <w:t>the last 50 years</w:t>
      </w:r>
      <w:r w:rsidR="00B41169">
        <w:rPr>
          <w:rFonts w:ascii="Times New Roman" w:hAnsi="Times New Roman" w:cs="Times New Roman"/>
        </w:rPr>
        <w:t xml:space="preserve">, </w:t>
      </w:r>
      <w:r w:rsidR="00A725F4">
        <w:rPr>
          <w:rFonts w:ascii="Times New Roman" w:hAnsi="Times New Roman" w:cs="Times New Roman"/>
        </w:rPr>
        <w:t xml:space="preserve">this </w:t>
      </w:r>
      <w:r w:rsidR="008309AB">
        <w:rPr>
          <w:rFonts w:ascii="Times New Roman" w:hAnsi="Times New Roman" w:cs="Times New Roman"/>
        </w:rPr>
        <w:t xml:space="preserve">distortion in timing could be justified as necessary to prevent </w:t>
      </w:r>
      <w:r w:rsidR="00585327">
        <w:rPr>
          <w:rFonts w:ascii="Times New Roman" w:hAnsi="Times New Roman" w:cs="Times New Roman"/>
        </w:rPr>
        <w:t xml:space="preserve">a </w:t>
      </w:r>
      <w:r w:rsidR="00AE0D43">
        <w:rPr>
          <w:rFonts w:ascii="Times New Roman" w:hAnsi="Times New Roman" w:cs="Times New Roman"/>
        </w:rPr>
        <w:t xml:space="preserve">more material </w:t>
      </w:r>
      <w:r w:rsidR="008309AB">
        <w:rPr>
          <w:rFonts w:ascii="Times New Roman" w:hAnsi="Times New Roman" w:cs="Times New Roman"/>
        </w:rPr>
        <w:t>distortion in character,</w:t>
      </w:r>
      <w:r w:rsidR="00585327">
        <w:rPr>
          <w:rFonts w:ascii="Times New Roman" w:hAnsi="Times New Roman" w:cs="Times New Roman"/>
        </w:rPr>
        <w:t xml:space="preserve"> </w:t>
      </w:r>
      <w:r w:rsidR="00AE0D43">
        <w:rPr>
          <w:rFonts w:ascii="Times New Roman" w:hAnsi="Times New Roman" w:cs="Times New Roman"/>
        </w:rPr>
        <w:t xml:space="preserve">more material insofar has such a distortion </w:t>
      </w:r>
      <w:r w:rsidR="008309AB">
        <w:rPr>
          <w:rFonts w:ascii="Times New Roman" w:hAnsi="Times New Roman" w:cs="Times New Roman"/>
        </w:rPr>
        <w:t xml:space="preserve">historically created a permanent difference </w:t>
      </w:r>
      <w:r w:rsidR="00585327">
        <w:rPr>
          <w:rFonts w:ascii="Times New Roman" w:hAnsi="Times New Roman" w:cs="Times New Roman"/>
        </w:rPr>
        <w:t xml:space="preserve">arising from </w:t>
      </w:r>
      <w:r w:rsidR="0094079A">
        <w:rPr>
          <w:rFonts w:ascii="Times New Roman" w:hAnsi="Times New Roman" w:cs="Times New Roman"/>
        </w:rPr>
        <w:t>the preferred rates afforded capital gain relative to ordinary income</w:t>
      </w:r>
      <w:r w:rsidR="008309AB">
        <w:rPr>
          <w:rFonts w:ascii="Times New Roman" w:hAnsi="Times New Roman" w:cs="Times New Roman"/>
        </w:rPr>
        <w:t xml:space="preserve">. </w:t>
      </w:r>
    </w:p>
    <w:p w14:paraId="4EE251CB" w14:textId="582F42DA" w:rsidR="002D4126" w:rsidRDefault="008309AB" w:rsidP="0018066D">
      <w:pPr>
        <w:widowControl w:val="0"/>
        <w:spacing w:after="240" w:line="240" w:lineRule="auto"/>
        <w:rPr>
          <w:rFonts w:ascii="Times New Roman" w:hAnsi="Times New Roman" w:cs="Times New Roman"/>
        </w:rPr>
      </w:pPr>
      <w:r>
        <w:rPr>
          <w:rFonts w:ascii="Times New Roman" w:hAnsi="Times New Roman" w:cs="Times New Roman"/>
        </w:rPr>
        <w:t>But recent developments have</w:t>
      </w:r>
      <w:r w:rsidR="003A2346">
        <w:rPr>
          <w:rFonts w:ascii="Times New Roman" w:hAnsi="Times New Roman" w:cs="Times New Roman"/>
        </w:rPr>
        <w:t xml:space="preserve"> significantly</w:t>
      </w:r>
      <w:r>
        <w:rPr>
          <w:rFonts w:ascii="Times New Roman" w:hAnsi="Times New Roman" w:cs="Times New Roman"/>
        </w:rPr>
        <w:t xml:space="preserve"> diminished the relevance of character</w:t>
      </w:r>
      <w:r w:rsidR="0094079A">
        <w:rPr>
          <w:rFonts w:ascii="Times New Roman" w:hAnsi="Times New Roman" w:cs="Times New Roman"/>
        </w:rPr>
        <w:t xml:space="preserve"> in determining</w:t>
      </w:r>
      <w:r w:rsidR="005E7B5F">
        <w:rPr>
          <w:rFonts w:ascii="Times New Roman" w:hAnsi="Times New Roman" w:cs="Times New Roman"/>
        </w:rPr>
        <w:t xml:space="preserve"> tax liability. As discussed above, </w:t>
      </w:r>
      <w:r w:rsidR="00A86367">
        <w:rPr>
          <w:rFonts w:ascii="Times New Roman" w:hAnsi="Times New Roman" w:cs="Times New Roman"/>
        </w:rPr>
        <w:t xml:space="preserve">since 1988, corporate rates on capital gains and ordinary income have been identical. </w:t>
      </w:r>
      <w:r w:rsidR="00946A5A">
        <w:rPr>
          <w:rFonts w:ascii="Times New Roman" w:hAnsi="Times New Roman" w:cs="Times New Roman"/>
        </w:rPr>
        <w:t xml:space="preserve">Individuals still generally enjoy a </w:t>
      </w:r>
      <w:r w:rsidR="00AC0FAD">
        <w:rPr>
          <w:rFonts w:ascii="Times New Roman" w:hAnsi="Times New Roman" w:cs="Times New Roman"/>
        </w:rPr>
        <w:t xml:space="preserve">significant </w:t>
      </w:r>
      <w:r w:rsidR="00946A5A">
        <w:rPr>
          <w:rFonts w:ascii="Times New Roman" w:hAnsi="Times New Roman" w:cs="Times New Roman"/>
        </w:rPr>
        <w:t xml:space="preserve">capital gain preference, with </w:t>
      </w:r>
      <w:r w:rsidR="00AC0FAD">
        <w:rPr>
          <w:rFonts w:ascii="Times New Roman" w:hAnsi="Times New Roman" w:cs="Times New Roman"/>
        </w:rPr>
        <w:t>a top marginal</w:t>
      </w:r>
      <w:r w:rsidR="00946A5A">
        <w:rPr>
          <w:rFonts w:ascii="Times New Roman" w:hAnsi="Times New Roman" w:cs="Times New Roman"/>
        </w:rPr>
        <w:t xml:space="preserve"> individual tax rate set </w:t>
      </w:r>
      <w:r w:rsidR="00AC0FAD">
        <w:rPr>
          <w:rFonts w:ascii="Times New Roman" w:hAnsi="Times New Roman" w:cs="Times New Roman"/>
        </w:rPr>
        <w:t xml:space="preserve">of </w:t>
      </w:r>
      <w:r w:rsidR="00946A5A">
        <w:rPr>
          <w:rFonts w:ascii="Times New Roman" w:hAnsi="Times New Roman" w:cs="Times New Roman"/>
        </w:rPr>
        <w:t>37 percent</w:t>
      </w:r>
      <w:r w:rsidR="00AC0FAD">
        <w:rPr>
          <w:rFonts w:ascii="Times New Roman" w:hAnsi="Times New Roman" w:cs="Times New Roman"/>
        </w:rPr>
        <w:t>,</w:t>
      </w:r>
      <w:bookmarkStart w:id="16" w:name="OLE_LINK23"/>
      <w:r w:rsidR="00420F68">
        <w:rPr>
          <w:rStyle w:val="FootnoteReference"/>
          <w:rFonts w:ascii="Times New Roman" w:hAnsi="Times New Roman" w:cs="Times New Roman"/>
        </w:rPr>
        <w:footnoteReference w:id="179"/>
      </w:r>
      <w:r w:rsidR="00946A5A">
        <w:rPr>
          <w:rFonts w:ascii="Times New Roman" w:hAnsi="Times New Roman" w:cs="Times New Roman"/>
        </w:rPr>
        <w:t xml:space="preserve"> </w:t>
      </w:r>
      <w:bookmarkEnd w:id="16"/>
      <w:r w:rsidR="00946A5A">
        <w:rPr>
          <w:rFonts w:ascii="Times New Roman" w:hAnsi="Times New Roman" w:cs="Times New Roman"/>
        </w:rPr>
        <w:t>as compared to the highest tax rate on long-term capital gains</w:t>
      </w:r>
      <w:r w:rsidR="00AC0FAD">
        <w:rPr>
          <w:rFonts w:ascii="Times New Roman" w:hAnsi="Times New Roman" w:cs="Times New Roman"/>
        </w:rPr>
        <w:t xml:space="preserve">, including the </w:t>
      </w:r>
      <w:bookmarkStart w:id="17" w:name="OLE_LINK3"/>
      <w:r w:rsidR="00AC0FAD">
        <w:rPr>
          <w:rFonts w:ascii="Times New Roman" w:hAnsi="Times New Roman" w:cs="Times New Roman"/>
        </w:rPr>
        <w:t>net investment income tax</w:t>
      </w:r>
      <w:bookmarkEnd w:id="17"/>
      <w:r w:rsidR="00AC0FAD">
        <w:rPr>
          <w:rFonts w:ascii="Times New Roman" w:hAnsi="Times New Roman" w:cs="Times New Roman"/>
        </w:rPr>
        <w:t xml:space="preserve">, </w:t>
      </w:r>
      <w:r w:rsidR="00946A5A">
        <w:rPr>
          <w:rFonts w:ascii="Times New Roman" w:hAnsi="Times New Roman" w:cs="Times New Roman"/>
        </w:rPr>
        <w:t>of 23.</w:t>
      </w:r>
      <w:r w:rsidR="00E752CC">
        <w:rPr>
          <w:rFonts w:ascii="Times New Roman" w:hAnsi="Times New Roman" w:cs="Times New Roman"/>
        </w:rPr>
        <w:t>8</w:t>
      </w:r>
      <w:r w:rsidR="00946A5A">
        <w:rPr>
          <w:rFonts w:ascii="Times New Roman" w:hAnsi="Times New Roman" w:cs="Times New Roman"/>
        </w:rPr>
        <w:t xml:space="preserve"> percent</w:t>
      </w:r>
      <w:r w:rsidR="00AC0FAD">
        <w:rPr>
          <w:rFonts w:ascii="Times New Roman" w:hAnsi="Times New Roman" w:cs="Times New Roman"/>
        </w:rPr>
        <w:t>.</w:t>
      </w:r>
      <w:r w:rsidR="00B36E9D">
        <w:rPr>
          <w:rStyle w:val="FootnoteReference"/>
          <w:rFonts w:ascii="Times New Roman" w:hAnsi="Times New Roman" w:cs="Times New Roman"/>
        </w:rPr>
        <w:footnoteReference w:id="180"/>
      </w:r>
      <w:r w:rsidR="00A725F4">
        <w:rPr>
          <w:rFonts w:ascii="Times New Roman" w:hAnsi="Times New Roman" w:cs="Times New Roman"/>
        </w:rPr>
        <w:t xml:space="preserve"> But even</w:t>
      </w:r>
      <w:r w:rsidR="00447AC3">
        <w:rPr>
          <w:rFonts w:ascii="Times New Roman" w:hAnsi="Times New Roman" w:cs="Times New Roman"/>
        </w:rPr>
        <w:t xml:space="preserve"> for individuals</w:t>
      </w:r>
      <w:r w:rsidR="00A725F4">
        <w:rPr>
          <w:rFonts w:ascii="Times New Roman" w:hAnsi="Times New Roman" w:cs="Times New Roman"/>
        </w:rPr>
        <w:t xml:space="preserve">, </w:t>
      </w:r>
      <w:r w:rsidR="00292258">
        <w:rPr>
          <w:rFonts w:ascii="Times New Roman" w:hAnsi="Times New Roman" w:cs="Times New Roman"/>
        </w:rPr>
        <w:t xml:space="preserve">the enactment of Code Sec. 1(h)(11) in </w:t>
      </w:r>
      <w:r w:rsidR="00E96D20">
        <w:rPr>
          <w:rFonts w:ascii="Times New Roman" w:hAnsi="Times New Roman" w:cs="Times New Roman"/>
        </w:rPr>
        <w:t xml:space="preserve">2003 </w:t>
      </w:r>
      <w:r w:rsidR="00D44F2B">
        <w:rPr>
          <w:rFonts w:ascii="Times New Roman" w:hAnsi="Times New Roman" w:cs="Times New Roman"/>
        </w:rPr>
        <w:t xml:space="preserve">often makes </w:t>
      </w:r>
      <w:r w:rsidR="00292258">
        <w:rPr>
          <w:rFonts w:ascii="Times New Roman" w:hAnsi="Times New Roman" w:cs="Times New Roman"/>
        </w:rPr>
        <w:t xml:space="preserve">individual </w:t>
      </w:r>
      <w:r w:rsidR="00555AB4">
        <w:rPr>
          <w:rFonts w:ascii="Times New Roman" w:hAnsi="Times New Roman" w:cs="Times New Roman"/>
        </w:rPr>
        <w:t xml:space="preserve">1248 </w:t>
      </w:r>
      <w:r w:rsidR="00292258">
        <w:rPr>
          <w:rFonts w:ascii="Times New Roman" w:hAnsi="Times New Roman" w:cs="Times New Roman"/>
        </w:rPr>
        <w:t xml:space="preserve">shareholders indifferent </w:t>
      </w:r>
      <w:r w:rsidR="005D1489">
        <w:rPr>
          <w:rFonts w:ascii="Times New Roman" w:hAnsi="Times New Roman" w:cs="Times New Roman"/>
        </w:rPr>
        <w:t xml:space="preserve">as to whether they recognize </w:t>
      </w:r>
      <w:r w:rsidR="00FF22EF">
        <w:rPr>
          <w:rFonts w:ascii="Times New Roman" w:hAnsi="Times New Roman" w:cs="Times New Roman"/>
        </w:rPr>
        <w:t xml:space="preserve">capital gain </w:t>
      </w:r>
      <w:r w:rsidR="002B6E6B">
        <w:rPr>
          <w:rFonts w:ascii="Times New Roman" w:hAnsi="Times New Roman" w:cs="Times New Roman"/>
        </w:rPr>
        <w:t>or divide</w:t>
      </w:r>
      <w:r w:rsidR="00957C2A">
        <w:rPr>
          <w:rFonts w:ascii="Times New Roman" w:hAnsi="Times New Roman" w:cs="Times New Roman"/>
        </w:rPr>
        <w:t>n</w:t>
      </w:r>
      <w:r w:rsidR="002B6E6B">
        <w:rPr>
          <w:rFonts w:ascii="Times New Roman" w:hAnsi="Times New Roman" w:cs="Times New Roman"/>
        </w:rPr>
        <w:t xml:space="preserve">d on the sale of </w:t>
      </w:r>
      <w:r w:rsidR="00555AB4">
        <w:rPr>
          <w:rFonts w:ascii="Times New Roman" w:hAnsi="Times New Roman" w:cs="Times New Roman"/>
        </w:rPr>
        <w:t xml:space="preserve">CFC </w:t>
      </w:r>
      <w:r w:rsidR="002B6E6B">
        <w:rPr>
          <w:rFonts w:ascii="Times New Roman" w:hAnsi="Times New Roman" w:cs="Times New Roman"/>
        </w:rPr>
        <w:t>stock</w:t>
      </w:r>
      <w:r w:rsidR="00D44F2B">
        <w:rPr>
          <w:rFonts w:ascii="Times New Roman" w:hAnsi="Times New Roman" w:cs="Times New Roman"/>
        </w:rPr>
        <w:t>. Assuming</w:t>
      </w:r>
      <w:r w:rsidR="002B6E6B">
        <w:rPr>
          <w:rFonts w:ascii="Times New Roman" w:hAnsi="Times New Roman" w:cs="Times New Roman"/>
        </w:rPr>
        <w:t xml:space="preserve"> the dividend qualifies as QDI, </w:t>
      </w:r>
      <w:r w:rsidR="00BD3CED">
        <w:rPr>
          <w:rFonts w:ascii="Times New Roman" w:hAnsi="Times New Roman" w:cs="Times New Roman"/>
        </w:rPr>
        <w:t xml:space="preserve">the dividend, like gain from </w:t>
      </w:r>
      <w:r w:rsidR="00147EF7">
        <w:rPr>
          <w:rFonts w:ascii="Times New Roman" w:hAnsi="Times New Roman" w:cs="Times New Roman"/>
        </w:rPr>
        <w:t xml:space="preserve">the sale of stock, may </w:t>
      </w:r>
      <w:r w:rsidR="002B6E6B">
        <w:rPr>
          <w:rFonts w:ascii="Times New Roman" w:hAnsi="Times New Roman" w:cs="Times New Roman"/>
        </w:rPr>
        <w:t xml:space="preserve">be subject to </w:t>
      </w:r>
      <w:r w:rsidR="00147EF7">
        <w:rPr>
          <w:rFonts w:ascii="Times New Roman" w:hAnsi="Times New Roman" w:cs="Times New Roman"/>
        </w:rPr>
        <w:t xml:space="preserve">lower </w:t>
      </w:r>
      <w:r w:rsidR="002B6E6B">
        <w:rPr>
          <w:rFonts w:ascii="Times New Roman" w:hAnsi="Times New Roman" w:cs="Times New Roman"/>
        </w:rPr>
        <w:t>long-term capital gain rates.</w:t>
      </w:r>
      <w:r w:rsidR="00555AB4">
        <w:rPr>
          <w:rStyle w:val="FootnoteReference"/>
          <w:rFonts w:ascii="Times New Roman" w:hAnsi="Times New Roman" w:cs="Times New Roman"/>
        </w:rPr>
        <w:footnoteReference w:id="181"/>
      </w:r>
    </w:p>
    <w:p w14:paraId="5EC913FE" w14:textId="56B03A33" w:rsidR="00A91A9B" w:rsidRDefault="00195D4F" w:rsidP="0018066D">
      <w:pPr>
        <w:widowControl w:val="0"/>
        <w:spacing w:after="240" w:line="240" w:lineRule="auto"/>
        <w:rPr>
          <w:rFonts w:ascii="Times New Roman" w:hAnsi="Times New Roman" w:cs="Times New Roman"/>
        </w:rPr>
      </w:pPr>
      <w:bookmarkStart w:id="18" w:name="OLE_LINK24"/>
      <w:r>
        <w:rPr>
          <w:rFonts w:ascii="Times New Roman" w:hAnsi="Times New Roman" w:cs="Times New Roman"/>
        </w:rPr>
        <w:t xml:space="preserve">The counterargument, however, is that character is not just about </w:t>
      </w:r>
      <w:r w:rsidR="00830622">
        <w:rPr>
          <w:rFonts w:ascii="Times New Roman" w:hAnsi="Times New Roman" w:cs="Times New Roman"/>
        </w:rPr>
        <w:t xml:space="preserve">the applicable </w:t>
      </w:r>
      <w:r w:rsidR="00BA5CF8">
        <w:rPr>
          <w:rFonts w:ascii="Times New Roman" w:hAnsi="Times New Roman" w:cs="Times New Roman"/>
        </w:rPr>
        <w:t xml:space="preserve">tax </w:t>
      </w:r>
      <w:r w:rsidR="00830622">
        <w:rPr>
          <w:rFonts w:ascii="Times New Roman" w:hAnsi="Times New Roman" w:cs="Times New Roman"/>
        </w:rPr>
        <w:t>rate</w:t>
      </w:r>
      <w:r>
        <w:rPr>
          <w:rFonts w:ascii="Times New Roman" w:hAnsi="Times New Roman" w:cs="Times New Roman"/>
        </w:rPr>
        <w:t xml:space="preserve">. In particular, while QDI </w:t>
      </w:r>
      <w:r w:rsidR="00830622">
        <w:rPr>
          <w:rFonts w:ascii="Times New Roman" w:hAnsi="Times New Roman" w:cs="Times New Roman"/>
        </w:rPr>
        <w:t xml:space="preserve">is taxed at the </w:t>
      </w:r>
      <w:r>
        <w:rPr>
          <w:rFonts w:ascii="Times New Roman" w:hAnsi="Times New Roman" w:cs="Times New Roman"/>
        </w:rPr>
        <w:t xml:space="preserve">same rate as long-term capital gain, QDI is still not “gain from the sale of a capital asset,” and therefore </w:t>
      </w:r>
      <w:bookmarkEnd w:id="18"/>
      <w:r>
        <w:rPr>
          <w:rFonts w:ascii="Times New Roman" w:hAnsi="Times New Roman" w:cs="Times New Roman"/>
        </w:rPr>
        <w:t xml:space="preserve">cannot be offset by capital losses, including capital loss carryforwards. </w:t>
      </w:r>
      <w:r w:rsidR="00BB364D">
        <w:rPr>
          <w:rFonts w:ascii="Times New Roman" w:hAnsi="Times New Roman" w:cs="Times New Roman"/>
        </w:rPr>
        <w:t xml:space="preserve">As </w:t>
      </w:r>
      <w:r w:rsidR="00D812AB">
        <w:rPr>
          <w:rFonts w:ascii="Times New Roman" w:hAnsi="Times New Roman" w:cs="Times New Roman"/>
        </w:rPr>
        <w:t xml:space="preserve">anyone </w:t>
      </w:r>
      <w:r w:rsidR="00585327">
        <w:rPr>
          <w:rFonts w:ascii="Times New Roman" w:hAnsi="Times New Roman" w:cs="Times New Roman"/>
        </w:rPr>
        <w:t xml:space="preserve">who has </w:t>
      </w:r>
      <w:r w:rsidR="00D812AB">
        <w:rPr>
          <w:rFonts w:ascii="Times New Roman" w:hAnsi="Times New Roman" w:cs="Times New Roman"/>
        </w:rPr>
        <w:t>tax loss</w:t>
      </w:r>
      <w:r w:rsidR="00D812AB" w:rsidDel="00BA5CF8">
        <w:rPr>
          <w:rFonts w:ascii="Times New Roman" w:hAnsi="Times New Roman" w:cs="Times New Roman"/>
        </w:rPr>
        <w:t xml:space="preserve"> </w:t>
      </w:r>
      <w:r w:rsidR="00BA5CF8">
        <w:rPr>
          <w:rFonts w:ascii="Times New Roman" w:hAnsi="Times New Roman" w:cs="Times New Roman"/>
        </w:rPr>
        <w:t xml:space="preserve">harvested </w:t>
      </w:r>
      <w:r w:rsidR="00D812AB">
        <w:rPr>
          <w:rFonts w:ascii="Times New Roman" w:hAnsi="Times New Roman" w:cs="Times New Roman"/>
        </w:rPr>
        <w:t xml:space="preserve">their portfolio this year can attest, </w:t>
      </w:r>
      <w:r w:rsidR="006768C5">
        <w:rPr>
          <w:rFonts w:ascii="Times New Roman" w:hAnsi="Times New Roman" w:cs="Times New Roman"/>
        </w:rPr>
        <w:t>the restrictions on deducting capital loss</w:t>
      </w:r>
      <w:r w:rsidR="00A90181">
        <w:rPr>
          <w:rFonts w:ascii="Times New Roman" w:hAnsi="Times New Roman" w:cs="Times New Roman"/>
        </w:rPr>
        <w:t xml:space="preserve"> </w:t>
      </w:r>
      <w:r w:rsidR="006768C5">
        <w:rPr>
          <w:rFonts w:ascii="Times New Roman" w:hAnsi="Times New Roman" w:cs="Times New Roman"/>
        </w:rPr>
        <w:t xml:space="preserve">renders </w:t>
      </w:r>
      <w:r w:rsidR="00A90181">
        <w:rPr>
          <w:rFonts w:ascii="Times New Roman" w:hAnsi="Times New Roman" w:cs="Times New Roman"/>
        </w:rPr>
        <w:t xml:space="preserve">QDI </w:t>
      </w:r>
      <w:r w:rsidR="007405E4">
        <w:rPr>
          <w:rFonts w:ascii="Times New Roman" w:hAnsi="Times New Roman" w:cs="Times New Roman"/>
        </w:rPr>
        <w:t>not quite</w:t>
      </w:r>
      <w:r w:rsidR="00A90181">
        <w:rPr>
          <w:rFonts w:ascii="Times New Roman" w:hAnsi="Times New Roman" w:cs="Times New Roman"/>
        </w:rPr>
        <w:t xml:space="preserve"> as valuable as </w:t>
      </w:r>
      <w:r w:rsidR="00ED40E3">
        <w:rPr>
          <w:rFonts w:ascii="Times New Roman" w:hAnsi="Times New Roman" w:cs="Times New Roman"/>
        </w:rPr>
        <w:t>“real” capital gain.</w:t>
      </w:r>
      <w:r w:rsidR="00F105FD">
        <w:rPr>
          <w:rFonts w:ascii="Times New Roman" w:hAnsi="Times New Roman" w:cs="Times New Roman"/>
        </w:rPr>
        <w:t xml:space="preserve"> </w:t>
      </w:r>
      <w:r w:rsidR="00685148">
        <w:rPr>
          <w:rFonts w:ascii="Times New Roman" w:hAnsi="Times New Roman" w:cs="Times New Roman"/>
        </w:rPr>
        <w:t xml:space="preserve">Also, even </w:t>
      </w:r>
      <w:r w:rsidR="003633B3">
        <w:rPr>
          <w:rFonts w:ascii="Times New Roman" w:hAnsi="Times New Roman" w:cs="Times New Roman"/>
        </w:rPr>
        <w:t>if most dividends from foreign corporations are QDI, there still remain</w:t>
      </w:r>
      <w:r w:rsidR="00FB424D">
        <w:rPr>
          <w:rFonts w:ascii="Times New Roman" w:hAnsi="Times New Roman" w:cs="Times New Roman"/>
        </w:rPr>
        <w:t>s</w:t>
      </w:r>
      <w:r w:rsidR="003633B3">
        <w:rPr>
          <w:rFonts w:ascii="Times New Roman" w:hAnsi="Times New Roman" w:cs="Times New Roman"/>
        </w:rPr>
        <w:t xml:space="preserve"> significant amounts of non-QDI dividend income </w:t>
      </w:r>
      <w:r w:rsidR="00BA5CF8">
        <w:rPr>
          <w:rFonts w:ascii="Times New Roman" w:hAnsi="Times New Roman" w:cs="Times New Roman"/>
        </w:rPr>
        <w:t>the conversion of which into capital gain could produce a tax benefit</w:t>
      </w:r>
      <w:r w:rsidR="009432A3">
        <w:rPr>
          <w:rFonts w:ascii="Times New Roman" w:hAnsi="Times New Roman" w:cs="Times New Roman"/>
        </w:rPr>
        <w:t>.</w:t>
      </w:r>
    </w:p>
    <w:p w14:paraId="14B9D71A" w14:textId="1F74D20F" w:rsidR="00C60488" w:rsidRPr="00A5108A" w:rsidRDefault="00ED40E3" w:rsidP="0018066D">
      <w:pPr>
        <w:widowControl w:val="0"/>
        <w:spacing w:after="240" w:line="240" w:lineRule="auto"/>
        <w:rPr>
          <w:rFonts w:ascii="Times New Roman" w:hAnsi="Times New Roman" w:cs="Times New Roman"/>
        </w:rPr>
      </w:pPr>
      <w:r>
        <w:rPr>
          <w:rFonts w:ascii="Times New Roman" w:hAnsi="Times New Roman" w:cs="Times New Roman"/>
        </w:rPr>
        <w:t xml:space="preserve">Further, </w:t>
      </w:r>
      <w:r w:rsidR="00975703">
        <w:rPr>
          <w:rFonts w:ascii="Times New Roman" w:hAnsi="Times New Roman" w:cs="Times New Roman"/>
        </w:rPr>
        <w:t xml:space="preserve">while </w:t>
      </w:r>
      <w:r w:rsidR="00A95FF1">
        <w:rPr>
          <w:rFonts w:ascii="Times New Roman" w:hAnsi="Times New Roman" w:cs="Times New Roman"/>
        </w:rPr>
        <w:t>congressional</w:t>
      </w:r>
      <w:r w:rsidR="008E5F88">
        <w:rPr>
          <w:rFonts w:ascii="Times New Roman" w:hAnsi="Times New Roman" w:cs="Times New Roman"/>
        </w:rPr>
        <w:t xml:space="preserve"> concern about the </w:t>
      </w:r>
      <w:r w:rsidR="00975703">
        <w:rPr>
          <w:rFonts w:ascii="Times New Roman" w:hAnsi="Times New Roman" w:cs="Times New Roman"/>
        </w:rPr>
        <w:t xml:space="preserve">conversion of dividend income into capital gain may </w:t>
      </w:r>
      <w:r w:rsidR="00C822F4">
        <w:rPr>
          <w:rFonts w:ascii="Times New Roman" w:hAnsi="Times New Roman" w:cs="Times New Roman"/>
        </w:rPr>
        <w:t xml:space="preserve">have </w:t>
      </w:r>
      <w:r w:rsidR="00562BA7">
        <w:rPr>
          <w:rFonts w:ascii="Times New Roman" w:hAnsi="Times New Roman" w:cs="Times New Roman"/>
        </w:rPr>
        <w:lastRenderedPageBreak/>
        <w:t xml:space="preserve">motivated the enactment of </w:t>
      </w:r>
      <w:r w:rsidR="00CB601E">
        <w:rPr>
          <w:rFonts w:ascii="Times New Roman" w:hAnsi="Times New Roman" w:cs="Times New Roman"/>
        </w:rPr>
        <w:t>C</w:t>
      </w:r>
      <w:r w:rsidR="000E524B">
        <w:rPr>
          <w:rFonts w:ascii="Times New Roman" w:hAnsi="Times New Roman" w:cs="Times New Roman"/>
        </w:rPr>
        <w:t xml:space="preserve">ode </w:t>
      </w:r>
      <w:r w:rsidR="00562BA7">
        <w:rPr>
          <w:rFonts w:ascii="Times New Roman" w:hAnsi="Times New Roman" w:cs="Times New Roman"/>
        </w:rPr>
        <w:t>Sec. 367(b</w:t>
      </w:r>
      <w:r w:rsidR="00C822F4">
        <w:rPr>
          <w:rFonts w:ascii="Times New Roman" w:hAnsi="Times New Roman" w:cs="Times New Roman"/>
        </w:rPr>
        <w:t xml:space="preserve">), </w:t>
      </w:r>
      <w:r w:rsidR="00E7683A">
        <w:rPr>
          <w:rFonts w:ascii="Times New Roman" w:hAnsi="Times New Roman" w:cs="Times New Roman"/>
        </w:rPr>
        <w:t xml:space="preserve">a provision enacted </w:t>
      </w:r>
      <w:r w:rsidR="002F3B5D">
        <w:rPr>
          <w:rFonts w:ascii="Times New Roman" w:hAnsi="Times New Roman" w:cs="Times New Roman"/>
        </w:rPr>
        <w:t xml:space="preserve">ten years </w:t>
      </w:r>
      <w:r w:rsidR="000E524B">
        <w:rPr>
          <w:rFonts w:ascii="Times New Roman" w:hAnsi="Times New Roman" w:cs="Times New Roman"/>
        </w:rPr>
        <w:t>later</w:t>
      </w:r>
      <w:r w:rsidR="00C02BFC">
        <w:rPr>
          <w:rFonts w:ascii="Times New Roman" w:hAnsi="Times New Roman" w:cs="Times New Roman"/>
        </w:rPr>
        <w:t xml:space="preserve"> may have become</w:t>
      </w:r>
      <w:r w:rsidR="00562BA7">
        <w:rPr>
          <w:rFonts w:ascii="Times New Roman" w:hAnsi="Times New Roman" w:cs="Times New Roman"/>
        </w:rPr>
        <w:t xml:space="preserve"> a more important </w:t>
      </w:r>
      <w:r w:rsidR="00612D85">
        <w:rPr>
          <w:rFonts w:ascii="Times New Roman" w:hAnsi="Times New Roman" w:cs="Times New Roman"/>
        </w:rPr>
        <w:t>consideration for B4 and the distortion principle.</w:t>
      </w:r>
      <w:r w:rsidR="00562BA7">
        <w:rPr>
          <w:rFonts w:ascii="Times New Roman" w:hAnsi="Times New Roman" w:cs="Times New Roman"/>
        </w:rPr>
        <w:t xml:space="preserve"> </w:t>
      </w:r>
      <w:r w:rsidR="005F3B5F">
        <w:rPr>
          <w:rFonts w:ascii="Times New Roman" w:hAnsi="Times New Roman" w:cs="Times New Roman"/>
        </w:rPr>
        <w:t xml:space="preserve">As discussed </w:t>
      </w:r>
      <w:r w:rsidR="00974DA5">
        <w:rPr>
          <w:rFonts w:ascii="Times New Roman" w:hAnsi="Times New Roman" w:cs="Times New Roman"/>
        </w:rPr>
        <w:t>in Part III.B.1.b of this report</w:t>
      </w:r>
      <w:r w:rsidR="005F3B5F">
        <w:rPr>
          <w:rFonts w:ascii="Times New Roman" w:hAnsi="Times New Roman" w:cs="Times New Roman"/>
        </w:rPr>
        <w:t>,</w:t>
      </w:r>
      <w:r w:rsidR="00DC3AD6">
        <w:rPr>
          <w:rFonts w:ascii="Times New Roman" w:hAnsi="Times New Roman" w:cs="Times New Roman"/>
        </w:rPr>
        <w:t xml:space="preserve"> </w:t>
      </w:r>
      <w:r w:rsidR="006A5D6A">
        <w:rPr>
          <w:rFonts w:ascii="Times New Roman" w:hAnsi="Times New Roman" w:cs="Times New Roman"/>
        </w:rPr>
        <w:t xml:space="preserve">foreign currency gain or loss with respect to </w:t>
      </w:r>
      <w:r w:rsidR="00650304">
        <w:rPr>
          <w:rFonts w:ascii="Times New Roman" w:hAnsi="Times New Roman" w:cs="Times New Roman"/>
        </w:rPr>
        <w:t>PTEP is recognized under</w:t>
      </w:r>
      <w:r w:rsidR="005F3B5F" w:rsidRPr="005F3B5F">
        <w:rPr>
          <w:rFonts w:ascii="Times New Roman" w:hAnsi="Times New Roman" w:cs="Times New Roman"/>
        </w:rPr>
        <w:t xml:space="preserve"> Code Sec. 986(c)</w:t>
      </w:r>
      <w:r w:rsidR="00650304">
        <w:rPr>
          <w:rFonts w:ascii="Times New Roman" w:hAnsi="Times New Roman" w:cs="Times New Roman"/>
        </w:rPr>
        <w:t xml:space="preserve"> upon </w:t>
      </w:r>
      <w:r w:rsidR="005F3B5F" w:rsidRPr="005F3B5F">
        <w:rPr>
          <w:rFonts w:ascii="Times New Roman" w:hAnsi="Times New Roman" w:cs="Times New Roman"/>
        </w:rPr>
        <w:t xml:space="preserve">distribution (or deemed distribution) of </w:t>
      </w:r>
      <w:r w:rsidR="00FA7A23">
        <w:rPr>
          <w:rFonts w:ascii="Times New Roman" w:hAnsi="Times New Roman" w:cs="Times New Roman"/>
        </w:rPr>
        <w:t>the</w:t>
      </w:r>
      <w:r w:rsidR="00650304">
        <w:rPr>
          <w:rFonts w:ascii="Times New Roman" w:hAnsi="Times New Roman" w:cs="Times New Roman"/>
        </w:rPr>
        <w:t xml:space="preserve"> PTEP. </w:t>
      </w:r>
      <w:r w:rsidR="005F3B5F" w:rsidRPr="005F3B5F">
        <w:rPr>
          <w:rFonts w:ascii="Times New Roman" w:hAnsi="Times New Roman" w:cs="Times New Roman"/>
        </w:rPr>
        <w:t>Code Sec. 986(c) gain or loss is treated as ordinary income or loss from the same source as the associated income inclusion.</w:t>
      </w:r>
      <w:r w:rsidR="005F64BF" w:rsidRPr="005F64BF">
        <w:t xml:space="preserve"> </w:t>
      </w:r>
      <w:r w:rsidR="005F64BF">
        <w:rPr>
          <w:rFonts w:ascii="Times New Roman" w:hAnsi="Times New Roman" w:cs="Times New Roman"/>
        </w:rPr>
        <w:t>If</w:t>
      </w:r>
      <w:r w:rsidR="005F64BF" w:rsidRPr="005F64BF">
        <w:rPr>
          <w:rFonts w:ascii="Times New Roman" w:hAnsi="Times New Roman" w:cs="Times New Roman"/>
        </w:rPr>
        <w:t xml:space="preserve"> an exchanging shareholder that is a U.S. person includes in income either an all E&amp;P amount or 1248 amount under B3 or B4, then immediately prior to the exchange, solely for purposes of computing foreign currency income or loss under Code Sec. 986(c), the shareholder is treated as receiving a distribution of PTEP from the appropriate foreign corporation that is attributable (under the principles of Code Sec. 1248) to the exchanged stock.</w:t>
      </w:r>
      <w:r w:rsidR="00A5108A">
        <w:rPr>
          <w:rFonts w:ascii="Times New Roman" w:hAnsi="Times New Roman" w:cs="Times New Roman"/>
        </w:rPr>
        <w:t xml:space="preserve"> </w:t>
      </w:r>
      <w:r w:rsidR="005F64BF" w:rsidRPr="005F64BF">
        <w:rPr>
          <w:rFonts w:ascii="Times New Roman" w:hAnsi="Times New Roman" w:cs="Times New Roman"/>
        </w:rPr>
        <w:t>Th</w:t>
      </w:r>
      <w:r w:rsidR="0065470C">
        <w:rPr>
          <w:rFonts w:ascii="Times New Roman" w:hAnsi="Times New Roman" w:cs="Times New Roman"/>
        </w:rPr>
        <w:t>is</w:t>
      </w:r>
      <w:r w:rsidR="005F64BF" w:rsidRPr="005F64BF">
        <w:rPr>
          <w:rFonts w:ascii="Times New Roman" w:hAnsi="Times New Roman" w:cs="Times New Roman"/>
        </w:rPr>
        <w:t xml:space="preserve"> </w:t>
      </w:r>
      <w:r w:rsidR="003D0BAC">
        <w:rPr>
          <w:rFonts w:ascii="Times New Roman" w:hAnsi="Times New Roman" w:cs="Times New Roman"/>
        </w:rPr>
        <w:t>foreign currency</w:t>
      </w:r>
      <w:r w:rsidR="005F64BF" w:rsidRPr="005F64BF">
        <w:rPr>
          <w:rFonts w:ascii="Times New Roman" w:hAnsi="Times New Roman" w:cs="Times New Roman"/>
        </w:rPr>
        <w:t xml:space="preserve"> gain or loss will increase or decrease the shareholder's adjusted basis in the stock of the foreign corporation</w:t>
      </w:r>
      <w:r w:rsidR="006840BE">
        <w:rPr>
          <w:rFonts w:ascii="Times New Roman" w:hAnsi="Times New Roman" w:cs="Times New Roman"/>
        </w:rPr>
        <w:t xml:space="preserve">, effectively ensuring that </w:t>
      </w:r>
      <w:r w:rsidR="0065470C">
        <w:rPr>
          <w:rFonts w:ascii="Times New Roman" w:hAnsi="Times New Roman" w:cs="Times New Roman"/>
        </w:rPr>
        <w:t xml:space="preserve">the </w:t>
      </w:r>
      <w:r w:rsidR="00823B7B">
        <w:rPr>
          <w:rFonts w:ascii="Times New Roman" w:hAnsi="Times New Roman" w:cs="Times New Roman"/>
        </w:rPr>
        <w:t xml:space="preserve">gain or loss in the stock attributable to the </w:t>
      </w:r>
      <w:r w:rsidR="00A32662">
        <w:rPr>
          <w:rFonts w:ascii="Times New Roman" w:hAnsi="Times New Roman" w:cs="Times New Roman"/>
        </w:rPr>
        <w:t xml:space="preserve">foreign </w:t>
      </w:r>
      <w:r w:rsidR="00823B7B">
        <w:rPr>
          <w:rFonts w:ascii="Times New Roman" w:hAnsi="Times New Roman" w:cs="Times New Roman"/>
        </w:rPr>
        <w:t xml:space="preserve">currency gain or loss is taken into account as </w:t>
      </w:r>
      <w:r w:rsidR="0065470C">
        <w:rPr>
          <w:rFonts w:ascii="Times New Roman" w:hAnsi="Times New Roman" w:cs="Times New Roman"/>
        </w:rPr>
        <w:t xml:space="preserve">ordinary income or </w:t>
      </w:r>
      <w:r w:rsidR="00823B7B">
        <w:rPr>
          <w:rFonts w:ascii="Times New Roman" w:hAnsi="Times New Roman" w:cs="Times New Roman"/>
        </w:rPr>
        <w:t xml:space="preserve">loss, rather than capital gain. Given the </w:t>
      </w:r>
      <w:r w:rsidR="00D20AFC">
        <w:rPr>
          <w:rFonts w:ascii="Times New Roman" w:hAnsi="Times New Roman" w:cs="Times New Roman"/>
        </w:rPr>
        <w:t xml:space="preserve">sheer amount of </w:t>
      </w:r>
      <w:r w:rsidR="005C79F4">
        <w:rPr>
          <w:rFonts w:ascii="Times New Roman" w:hAnsi="Times New Roman" w:cs="Times New Roman"/>
        </w:rPr>
        <w:t>PTEP sloshing about currently in the international tax system, and the</w:t>
      </w:r>
      <w:r w:rsidR="0034552D">
        <w:rPr>
          <w:rFonts w:ascii="Times New Roman" w:hAnsi="Times New Roman" w:cs="Times New Roman"/>
        </w:rPr>
        <w:t xml:space="preserve"> volatility of exchange rates in the current market, the </w:t>
      </w:r>
      <w:r w:rsidR="00346035">
        <w:rPr>
          <w:rFonts w:ascii="Times New Roman" w:hAnsi="Times New Roman" w:cs="Times New Roman"/>
        </w:rPr>
        <w:t>ability of</w:t>
      </w:r>
      <w:r w:rsidR="0034552D">
        <w:rPr>
          <w:rFonts w:ascii="Times New Roman" w:hAnsi="Times New Roman" w:cs="Times New Roman"/>
        </w:rPr>
        <w:t xml:space="preserve"> B4 (and B3) to backstop Code Sec. 986(c) – something that could not have been envisioned by the drafters of Code Sec. 367(b) – has become </w:t>
      </w:r>
      <w:r w:rsidR="00346035">
        <w:rPr>
          <w:rFonts w:ascii="Times New Roman" w:hAnsi="Times New Roman" w:cs="Times New Roman"/>
        </w:rPr>
        <w:t>significantly more important in preventing nonrecognition transactions from causing a material distortion</w:t>
      </w:r>
      <w:r w:rsidR="003C11EC">
        <w:rPr>
          <w:rFonts w:ascii="Times New Roman" w:hAnsi="Times New Roman" w:cs="Times New Roman"/>
        </w:rPr>
        <w:t>.</w:t>
      </w:r>
    </w:p>
    <w:p w14:paraId="1619DCBE" w14:textId="10C2615D" w:rsidR="004B7661" w:rsidRDefault="00804002" w:rsidP="0096648D">
      <w:pPr>
        <w:pStyle w:val="Heading3"/>
        <w:keepNext w:val="0"/>
        <w:keepLines w:val="0"/>
        <w:widowControl w:val="0"/>
      </w:pPr>
      <w:r>
        <w:t xml:space="preserve">Exclude </w:t>
      </w:r>
      <w:r w:rsidR="00E93470">
        <w:t>small shareholders</w:t>
      </w:r>
      <w:r w:rsidR="0045247E">
        <w:t xml:space="preserve"> from B3</w:t>
      </w:r>
    </w:p>
    <w:p w14:paraId="3D95B93E" w14:textId="343EA510" w:rsidR="00305CA4" w:rsidRDefault="006C0ADE" w:rsidP="0096648D">
      <w:pPr>
        <w:widowControl w:val="0"/>
        <w:spacing w:after="240" w:line="240" w:lineRule="auto"/>
        <w:rPr>
          <w:rFonts w:ascii="Times New Roman" w:hAnsi="Times New Roman" w:cs="Times New Roman"/>
        </w:rPr>
      </w:pPr>
      <w:r>
        <w:rPr>
          <w:rFonts w:ascii="Times New Roman" w:hAnsi="Times New Roman" w:cs="Times New Roman"/>
        </w:rPr>
        <w:t xml:space="preserve">The second approach for consideration is whether </w:t>
      </w:r>
      <w:r w:rsidR="004B0C0A">
        <w:rPr>
          <w:rFonts w:ascii="Times New Roman" w:hAnsi="Times New Roman" w:cs="Times New Roman"/>
        </w:rPr>
        <w:t>to exclude small shareholders from B3</w:t>
      </w:r>
      <w:r w:rsidR="00C423DA">
        <w:rPr>
          <w:rFonts w:ascii="Times New Roman" w:hAnsi="Times New Roman" w:cs="Times New Roman"/>
        </w:rPr>
        <w:t>.</w:t>
      </w:r>
      <w:r w:rsidR="00DC6008" w:rsidRPr="00A93728">
        <w:rPr>
          <w:rStyle w:val="FootnoteReference"/>
          <w:rFonts w:ascii="Times New Roman" w:hAnsi="Times New Roman" w:cs="Times New Roman"/>
        </w:rPr>
        <w:footnoteReference w:id="182"/>
      </w:r>
      <w:r w:rsidR="009649AD">
        <w:rPr>
          <w:rFonts w:ascii="Times New Roman" w:hAnsi="Times New Roman" w:cs="Times New Roman"/>
        </w:rPr>
        <w:t xml:space="preserve"> As discussed above, small shareholders </w:t>
      </w:r>
      <w:r w:rsidR="007241F2">
        <w:rPr>
          <w:rFonts w:ascii="Times New Roman" w:hAnsi="Times New Roman" w:cs="Times New Roman"/>
        </w:rPr>
        <w:t>were entirely excluded from having to pay a toll charge under the guidelines</w:t>
      </w:r>
      <w:r w:rsidR="00F26A5F">
        <w:rPr>
          <w:rFonts w:ascii="Times New Roman" w:hAnsi="Times New Roman" w:cs="Times New Roman"/>
        </w:rPr>
        <w:t xml:space="preserve"> and the temporary regulations.</w:t>
      </w:r>
      <w:r w:rsidR="0098779B">
        <w:rPr>
          <w:rStyle w:val="FootnoteReference"/>
          <w:rFonts w:ascii="Times New Roman" w:hAnsi="Times New Roman" w:cs="Times New Roman"/>
        </w:rPr>
        <w:footnoteReference w:id="183"/>
      </w:r>
      <w:r w:rsidR="00F26A5F">
        <w:rPr>
          <w:rFonts w:ascii="Times New Roman" w:hAnsi="Times New Roman" w:cs="Times New Roman"/>
        </w:rPr>
        <w:t xml:space="preserve"> </w:t>
      </w:r>
      <w:r w:rsidR="005A0B6B">
        <w:rPr>
          <w:rFonts w:ascii="Times New Roman" w:hAnsi="Times New Roman" w:cs="Times New Roman"/>
        </w:rPr>
        <w:t>Without commenting on this change, t</w:t>
      </w:r>
      <w:r w:rsidR="00984F83">
        <w:rPr>
          <w:rFonts w:ascii="Times New Roman" w:hAnsi="Times New Roman" w:cs="Times New Roman"/>
        </w:rPr>
        <w:t xml:space="preserve">he proposed regulations expanded </w:t>
      </w:r>
      <w:r w:rsidR="00392363">
        <w:rPr>
          <w:rFonts w:ascii="Times New Roman" w:hAnsi="Times New Roman" w:cs="Times New Roman"/>
        </w:rPr>
        <w:t>B3 to apply to small shareholders</w:t>
      </w:r>
      <w:r w:rsidR="00335323">
        <w:rPr>
          <w:rFonts w:ascii="Times New Roman" w:hAnsi="Times New Roman" w:cs="Times New Roman"/>
        </w:rPr>
        <w:t xml:space="preserve">. </w:t>
      </w:r>
      <w:r w:rsidR="00B86793">
        <w:rPr>
          <w:rFonts w:ascii="Times New Roman" w:hAnsi="Times New Roman" w:cs="Times New Roman"/>
        </w:rPr>
        <w:t>It may be time to reconsider this decision.</w:t>
      </w:r>
    </w:p>
    <w:p w14:paraId="4CA02F97" w14:textId="53C23F47" w:rsidR="00396903" w:rsidRDefault="0035679F" w:rsidP="0096648D">
      <w:pPr>
        <w:widowControl w:val="0"/>
        <w:spacing w:after="240" w:line="240" w:lineRule="auto"/>
        <w:rPr>
          <w:rFonts w:ascii="Times New Roman" w:hAnsi="Times New Roman" w:cs="Times New Roman"/>
        </w:rPr>
      </w:pPr>
      <w:r>
        <w:rPr>
          <w:rFonts w:ascii="Times New Roman" w:hAnsi="Times New Roman" w:cs="Times New Roman"/>
        </w:rPr>
        <w:t>First, arguably, extending B3 to small shareholders was not the right decision even in 1991. As</w:t>
      </w:r>
      <w:r w:rsidR="008669B8">
        <w:rPr>
          <w:rFonts w:ascii="Times New Roman" w:hAnsi="Times New Roman" w:cs="Times New Roman"/>
        </w:rPr>
        <w:t xml:space="preserve"> discussed extensively above, the statutory purpose of B3 fundamentally is to backstop </w:t>
      </w:r>
      <w:r w:rsidR="002B71B2">
        <w:rPr>
          <w:rFonts w:ascii="Times New Roman" w:hAnsi="Times New Roman" w:cs="Times New Roman"/>
        </w:rPr>
        <w:t>deferral</w:t>
      </w:r>
      <w:r w:rsidR="008669B8">
        <w:rPr>
          <w:rFonts w:ascii="Times New Roman" w:hAnsi="Times New Roman" w:cs="Times New Roman"/>
        </w:rPr>
        <w:t xml:space="preserve">. </w:t>
      </w:r>
      <w:r w:rsidR="002B71B2">
        <w:rPr>
          <w:rFonts w:ascii="Times New Roman" w:hAnsi="Times New Roman" w:cs="Times New Roman"/>
        </w:rPr>
        <w:t xml:space="preserve">In this regard, </w:t>
      </w:r>
      <w:r>
        <w:rPr>
          <w:rFonts w:ascii="Times New Roman" w:hAnsi="Times New Roman" w:cs="Times New Roman"/>
        </w:rPr>
        <w:t>Congress did not view “deferral” as encompassing all foreign corporations and all their shareholders. Rather,</w:t>
      </w:r>
      <w:r w:rsidRPr="007743B7">
        <w:rPr>
          <w:rFonts w:ascii="Times New Roman" w:hAnsi="Times New Roman" w:cs="Times New Roman"/>
        </w:rPr>
        <w:t xml:space="preserve"> </w:t>
      </w:r>
      <w:r>
        <w:rPr>
          <w:rFonts w:ascii="Times New Roman" w:hAnsi="Times New Roman" w:cs="Times New Roman"/>
        </w:rPr>
        <w:t xml:space="preserve">as explained in the </w:t>
      </w:r>
      <w:r w:rsidRPr="00A93728">
        <w:rPr>
          <w:rFonts w:ascii="Times New Roman" w:hAnsi="Times New Roman" w:cs="Times New Roman"/>
        </w:rPr>
        <w:t xml:space="preserve">House </w:t>
      </w:r>
      <w:r>
        <w:rPr>
          <w:rFonts w:ascii="Times New Roman" w:hAnsi="Times New Roman" w:cs="Times New Roman"/>
        </w:rPr>
        <w:t>r</w:t>
      </w:r>
      <w:r w:rsidRPr="00A93728">
        <w:rPr>
          <w:rFonts w:ascii="Times New Roman" w:hAnsi="Times New Roman" w:cs="Times New Roman"/>
        </w:rPr>
        <w:t>eport</w:t>
      </w:r>
      <w:r>
        <w:rPr>
          <w:rFonts w:ascii="Times New Roman" w:hAnsi="Times New Roman" w:cs="Times New Roman"/>
        </w:rPr>
        <w:t xml:space="preserve"> on the Revenue Act of 1962, “deferral” referred specifically to the failure to impose U.S. tax on the income of </w:t>
      </w:r>
      <w:r w:rsidR="0075630E">
        <w:rPr>
          <w:rFonts w:ascii="Times New Roman" w:hAnsi="Times New Roman" w:cs="Times New Roman"/>
        </w:rPr>
        <w:t xml:space="preserve">U.S. shareholders and their </w:t>
      </w:r>
      <w:r>
        <w:rPr>
          <w:rFonts w:ascii="Times New Roman" w:hAnsi="Times New Roman" w:cs="Times New Roman"/>
        </w:rPr>
        <w:t>“American controlled” foreign corporations until repatriation</w:t>
      </w:r>
      <w:r w:rsidR="00C04BD4">
        <w:rPr>
          <w:rFonts w:ascii="Times New Roman" w:hAnsi="Times New Roman" w:cs="Times New Roman"/>
        </w:rPr>
        <w:t>.</w:t>
      </w:r>
      <w:r w:rsidR="00396903" w:rsidRPr="00A93728">
        <w:rPr>
          <w:rStyle w:val="FootnoteReference"/>
          <w:rFonts w:ascii="Times New Roman" w:hAnsi="Times New Roman" w:cs="Times New Roman"/>
        </w:rPr>
        <w:footnoteReference w:id="184"/>
      </w:r>
      <w:r w:rsidR="00A5108A">
        <w:rPr>
          <w:rFonts w:ascii="Times New Roman" w:hAnsi="Times New Roman" w:cs="Times New Roman"/>
        </w:rPr>
        <w:t xml:space="preserve"> </w:t>
      </w:r>
      <w:r w:rsidR="00C610E9">
        <w:rPr>
          <w:rFonts w:ascii="Times New Roman" w:hAnsi="Times New Roman" w:cs="Times New Roman"/>
        </w:rPr>
        <w:t>As the legislative history makes clear,</w:t>
      </w:r>
      <w:r w:rsidR="00396903">
        <w:rPr>
          <w:rFonts w:ascii="Times New Roman" w:hAnsi="Times New Roman" w:cs="Times New Roman"/>
        </w:rPr>
        <w:t xml:space="preserve"> </w:t>
      </w:r>
      <w:r w:rsidR="00C610E9">
        <w:rPr>
          <w:rFonts w:ascii="Times New Roman" w:hAnsi="Times New Roman" w:cs="Times New Roman"/>
        </w:rPr>
        <w:t>Congress intended the</w:t>
      </w:r>
      <w:r w:rsidR="00396903">
        <w:rPr>
          <w:rFonts w:ascii="Times New Roman" w:hAnsi="Times New Roman" w:cs="Times New Roman"/>
        </w:rPr>
        <w:t xml:space="preserve"> U.S.</w:t>
      </w:r>
      <w:r w:rsidR="00396903" w:rsidRPr="006C4092">
        <w:rPr>
          <w:rFonts w:ascii="Times New Roman" w:hAnsi="Times New Roman" w:cs="Times New Roman"/>
        </w:rPr>
        <w:t xml:space="preserve"> shareholder</w:t>
      </w:r>
      <w:r w:rsidR="00C264BA">
        <w:rPr>
          <w:rFonts w:ascii="Times New Roman" w:hAnsi="Times New Roman" w:cs="Times New Roman"/>
        </w:rPr>
        <w:t xml:space="preserve"> limitation </w:t>
      </w:r>
      <w:r w:rsidR="00C610E9">
        <w:rPr>
          <w:rFonts w:ascii="Times New Roman" w:hAnsi="Times New Roman" w:cs="Times New Roman"/>
        </w:rPr>
        <w:t>to be</w:t>
      </w:r>
      <w:r w:rsidR="00396903" w:rsidRPr="006C4092">
        <w:rPr>
          <w:rFonts w:ascii="Times New Roman" w:hAnsi="Times New Roman" w:cs="Times New Roman"/>
        </w:rPr>
        <w:t xml:space="preserve"> a “</w:t>
      </w:r>
      <w:r w:rsidR="00396903" w:rsidRPr="00E76F55">
        <w:rPr>
          <w:rFonts w:ascii="Times New Roman" w:hAnsi="Times New Roman" w:cs="Times New Roman"/>
          <w:i/>
        </w:rPr>
        <w:t>de minimis</w:t>
      </w:r>
      <w:r w:rsidR="00396903" w:rsidRPr="006C4092">
        <w:rPr>
          <w:rFonts w:ascii="Times New Roman" w:hAnsi="Times New Roman" w:cs="Times New Roman"/>
        </w:rPr>
        <w:t xml:space="preserve"> rule </w:t>
      </w:r>
      <w:r w:rsidR="00396903">
        <w:rPr>
          <w:rFonts w:ascii="Times New Roman" w:hAnsi="Times New Roman" w:cs="Times New Roman"/>
        </w:rPr>
        <w:t>[that] prevents</w:t>
      </w:r>
      <w:r w:rsidR="00396903" w:rsidRPr="006C4092">
        <w:rPr>
          <w:rFonts w:ascii="Times New Roman" w:hAnsi="Times New Roman" w:cs="Times New Roman"/>
        </w:rPr>
        <w:t xml:space="preserve"> the attribution of the undistributed income back to the shareholders where their interest is small and their influence on the corporation’s policy is presumably negligible</w:t>
      </w:r>
      <w:r w:rsidR="00396903">
        <w:rPr>
          <w:rFonts w:ascii="Times New Roman" w:hAnsi="Times New Roman" w:cs="Times New Roman"/>
        </w:rPr>
        <w:t>.</w:t>
      </w:r>
      <w:r w:rsidR="00396903" w:rsidRPr="006C4092">
        <w:rPr>
          <w:rFonts w:ascii="Times New Roman" w:hAnsi="Times New Roman" w:cs="Times New Roman"/>
        </w:rPr>
        <w:t>”</w:t>
      </w:r>
      <w:r w:rsidR="00396903" w:rsidRPr="00A93728">
        <w:rPr>
          <w:rStyle w:val="FootnoteReference"/>
          <w:rFonts w:ascii="Times New Roman" w:hAnsi="Times New Roman" w:cs="Times New Roman"/>
        </w:rPr>
        <w:footnoteReference w:id="185"/>
      </w:r>
      <w:r w:rsidR="00C264BA">
        <w:rPr>
          <w:rFonts w:ascii="Times New Roman" w:hAnsi="Times New Roman" w:cs="Times New Roman"/>
        </w:rPr>
        <w:t xml:space="preserve"> </w:t>
      </w:r>
    </w:p>
    <w:p w14:paraId="4C45B152" w14:textId="58989EED" w:rsidR="004A0D7E" w:rsidRDefault="00C610E9" w:rsidP="0096648D">
      <w:pPr>
        <w:widowControl w:val="0"/>
        <w:spacing w:after="240" w:line="240" w:lineRule="auto"/>
        <w:rPr>
          <w:rFonts w:ascii="Times New Roman" w:hAnsi="Times New Roman" w:cs="Times New Roman"/>
        </w:rPr>
      </w:pPr>
      <w:r>
        <w:rPr>
          <w:rFonts w:ascii="Times New Roman" w:hAnsi="Times New Roman" w:cs="Times New Roman"/>
        </w:rPr>
        <w:t xml:space="preserve">The policy rationale </w:t>
      </w:r>
      <w:r w:rsidR="0003595E">
        <w:rPr>
          <w:rFonts w:ascii="Times New Roman" w:hAnsi="Times New Roman" w:cs="Times New Roman"/>
        </w:rPr>
        <w:t>for not</w:t>
      </w:r>
      <w:r>
        <w:rPr>
          <w:rFonts w:ascii="Times New Roman" w:hAnsi="Times New Roman" w:cs="Times New Roman"/>
        </w:rPr>
        <w:t xml:space="preserve"> attributing subpart F income to small shareholder</w:t>
      </w:r>
      <w:r w:rsidR="00FE7F04">
        <w:rPr>
          <w:rFonts w:ascii="Times New Roman" w:hAnsi="Times New Roman" w:cs="Times New Roman"/>
        </w:rPr>
        <w:t>s</w:t>
      </w:r>
      <w:r>
        <w:rPr>
          <w:rFonts w:ascii="Times New Roman" w:hAnsi="Times New Roman" w:cs="Times New Roman"/>
        </w:rPr>
        <w:t xml:space="preserve"> </w:t>
      </w:r>
      <w:r w:rsidR="00FE7F04">
        <w:rPr>
          <w:rFonts w:ascii="Times New Roman" w:hAnsi="Times New Roman" w:cs="Times New Roman"/>
        </w:rPr>
        <w:t>holds</w:t>
      </w:r>
      <w:r w:rsidR="0003595E">
        <w:rPr>
          <w:rFonts w:ascii="Times New Roman" w:hAnsi="Times New Roman" w:cs="Times New Roman"/>
        </w:rPr>
        <w:t xml:space="preserve"> equally for not</w:t>
      </w:r>
      <w:r>
        <w:rPr>
          <w:rFonts w:ascii="Times New Roman" w:hAnsi="Times New Roman" w:cs="Times New Roman"/>
        </w:rPr>
        <w:t xml:space="preserve"> attributing E&amp;P to small shareholder</w:t>
      </w:r>
      <w:r w:rsidR="00FE7F04">
        <w:rPr>
          <w:rFonts w:ascii="Times New Roman" w:hAnsi="Times New Roman" w:cs="Times New Roman"/>
        </w:rPr>
        <w:t xml:space="preserve">s </w:t>
      </w:r>
      <w:r w:rsidR="0003595E">
        <w:rPr>
          <w:rFonts w:ascii="Times New Roman" w:hAnsi="Times New Roman" w:cs="Times New Roman"/>
        </w:rPr>
        <w:t>– in either case, it</w:t>
      </w:r>
      <w:r w:rsidR="005C4E07">
        <w:rPr>
          <w:rFonts w:ascii="Times New Roman" w:hAnsi="Times New Roman" w:cs="Times New Roman"/>
        </w:rPr>
        <w:t>’</w:t>
      </w:r>
      <w:r w:rsidR="0003595E">
        <w:rPr>
          <w:rFonts w:ascii="Times New Roman" w:hAnsi="Times New Roman" w:cs="Times New Roman"/>
        </w:rPr>
        <w:t xml:space="preserve">s not </w:t>
      </w:r>
      <w:r w:rsidR="0003595E">
        <w:rPr>
          <w:rFonts w:ascii="Times New Roman" w:hAnsi="Times New Roman" w:cs="Times New Roman"/>
          <w:i/>
          <w:iCs/>
        </w:rPr>
        <w:t xml:space="preserve">their </w:t>
      </w:r>
      <w:r w:rsidR="0003595E">
        <w:rPr>
          <w:rFonts w:ascii="Times New Roman" w:hAnsi="Times New Roman" w:cs="Times New Roman"/>
        </w:rPr>
        <w:t xml:space="preserve">income or E&amp;P. </w:t>
      </w:r>
      <w:r w:rsidR="00DB756C">
        <w:rPr>
          <w:rFonts w:ascii="Times New Roman" w:hAnsi="Times New Roman" w:cs="Times New Roman"/>
        </w:rPr>
        <w:t xml:space="preserve">A foreign corporation is a separate person. At some level of aggregate U.S. ownership, and </w:t>
      </w:r>
      <w:r w:rsidR="00747E00">
        <w:rPr>
          <w:rFonts w:ascii="Times New Roman" w:hAnsi="Times New Roman" w:cs="Times New Roman"/>
        </w:rPr>
        <w:t>in</w:t>
      </w:r>
      <w:r w:rsidR="00DB756C">
        <w:rPr>
          <w:rFonts w:ascii="Times New Roman" w:hAnsi="Times New Roman" w:cs="Times New Roman"/>
        </w:rPr>
        <w:t xml:space="preserve"> specific</w:t>
      </w:r>
      <w:r w:rsidR="0077538C">
        <w:rPr>
          <w:rFonts w:ascii="Times New Roman" w:hAnsi="Times New Roman" w:cs="Times New Roman"/>
        </w:rPr>
        <w:t>,</w:t>
      </w:r>
      <w:r w:rsidR="00DB756C">
        <w:rPr>
          <w:rFonts w:ascii="Times New Roman" w:hAnsi="Times New Roman" w:cs="Times New Roman"/>
        </w:rPr>
        <w:t xml:space="preserve"> ownership by a </w:t>
      </w:r>
      <w:r w:rsidR="00FE7F04">
        <w:rPr>
          <w:rFonts w:ascii="Times New Roman" w:hAnsi="Times New Roman" w:cs="Times New Roman"/>
        </w:rPr>
        <w:t>single person</w:t>
      </w:r>
      <w:r w:rsidR="00DB756C">
        <w:rPr>
          <w:rFonts w:ascii="Times New Roman" w:hAnsi="Times New Roman" w:cs="Times New Roman"/>
        </w:rPr>
        <w:t xml:space="preserve">, the Code will cease to </w:t>
      </w:r>
      <w:r w:rsidR="007A4275">
        <w:rPr>
          <w:rFonts w:ascii="Times New Roman" w:hAnsi="Times New Roman" w:cs="Times New Roman"/>
        </w:rPr>
        <w:t xml:space="preserve">give effect to the </w:t>
      </w:r>
      <w:r w:rsidR="00C75141">
        <w:rPr>
          <w:rFonts w:ascii="Times New Roman" w:hAnsi="Times New Roman" w:cs="Times New Roman"/>
        </w:rPr>
        <w:t xml:space="preserve">“personhood” of a foreign subsidiary and will instead </w:t>
      </w:r>
      <w:r w:rsidR="00FE7F04">
        <w:rPr>
          <w:rFonts w:ascii="Times New Roman" w:hAnsi="Times New Roman" w:cs="Times New Roman"/>
        </w:rPr>
        <w:t>impute the in</w:t>
      </w:r>
      <w:r w:rsidR="00C75141">
        <w:rPr>
          <w:rFonts w:ascii="Times New Roman" w:hAnsi="Times New Roman" w:cs="Times New Roman"/>
        </w:rPr>
        <w:t xml:space="preserve">come of the subsidiary </w:t>
      </w:r>
      <w:r w:rsidR="00FE7F04">
        <w:rPr>
          <w:rFonts w:ascii="Times New Roman" w:hAnsi="Times New Roman" w:cs="Times New Roman"/>
        </w:rPr>
        <w:t>to</w:t>
      </w:r>
      <w:r w:rsidR="00C75141">
        <w:rPr>
          <w:rFonts w:ascii="Times New Roman" w:hAnsi="Times New Roman" w:cs="Times New Roman"/>
        </w:rPr>
        <w:t xml:space="preserve"> its shareholder(s).</w:t>
      </w:r>
      <w:r w:rsidR="00FE7F04">
        <w:rPr>
          <w:rFonts w:ascii="Times New Roman" w:hAnsi="Times New Roman" w:cs="Times New Roman"/>
        </w:rPr>
        <w:t xml:space="preserve"> Congress decided the threshold at which </w:t>
      </w:r>
      <w:r w:rsidR="003B3035">
        <w:rPr>
          <w:rFonts w:ascii="Times New Roman" w:hAnsi="Times New Roman" w:cs="Times New Roman"/>
        </w:rPr>
        <w:t>the Code will cease to give full effect to the separateness of a foreign corporation</w:t>
      </w:r>
      <w:r w:rsidR="004A0D7E">
        <w:rPr>
          <w:rFonts w:ascii="Times New Roman" w:hAnsi="Times New Roman" w:cs="Times New Roman"/>
        </w:rPr>
        <w:t xml:space="preserve"> vis-à-vis a shareholder, and thus created the U.S. shareholder and CFC concepts. It is not the deferral system that </w:t>
      </w:r>
      <w:r w:rsidR="00381F6C">
        <w:rPr>
          <w:rFonts w:ascii="Times New Roman" w:hAnsi="Times New Roman" w:cs="Times New Roman"/>
        </w:rPr>
        <w:t xml:space="preserve">relieves a small </w:t>
      </w:r>
      <w:r w:rsidR="00381F6C">
        <w:rPr>
          <w:rFonts w:ascii="Times New Roman" w:hAnsi="Times New Roman" w:cs="Times New Roman"/>
        </w:rPr>
        <w:lastRenderedPageBreak/>
        <w:t>shareholder of current tax – it’s the realization principle.</w:t>
      </w:r>
      <w:r w:rsidR="00AA414E">
        <w:rPr>
          <w:rStyle w:val="FootnoteReference"/>
          <w:rFonts w:ascii="Times New Roman" w:hAnsi="Times New Roman" w:cs="Times New Roman"/>
        </w:rPr>
        <w:footnoteReference w:id="186"/>
      </w:r>
      <w:r w:rsidR="00381F6C">
        <w:rPr>
          <w:rFonts w:ascii="Times New Roman" w:hAnsi="Times New Roman" w:cs="Times New Roman"/>
        </w:rPr>
        <w:t xml:space="preserve"> </w:t>
      </w:r>
      <w:r w:rsidR="002E3F52">
        <w:rPr>
          <w:rFonts w:ascii="Times New Roman" w:hAnsi="Times New Roman" w:cs="Times New Roman"/>
        </w:rPr>
        <w:t>The</w:t>
      </w:r>
      <w:r w:rsidR="006044B7">
        <w:rPr>
          <w:rFonts w:ascii="Times New Roman" w:hAnsi="Times New Roman" w:cs="Times New Roman"/>
        </w:rPr>
        <w:t xml:space="preserve"> tax on a</w:t>
      </w:r>
      <w:r w:rsidR="00381F6C">
        <w:rPr>
          <w:rFonts w:ascii="Times New Roman" w:hAnsi="Times New Roman" w:cs="Times New Roman"/>
        </w:rPr>
        <w:t xml:space="preserve"> shareholder that owns 0.00001 percent of </w:t>
      </w:r>
      <w:r w:rsidR="001733E9">
        <w:rPr>
          <w:rFonts w:ascii="Times New Roman" w:hAnsi="Times New Roman" w:cs="Times New Roman"/>
        </w:rPr>
        <w:t>a publicly traded foreign corporation</w:t>
      </w:r>
      <w:r w:rsidR="00381F6C">
        <w:rPr>
          <w:rFonts w:ascii="Times New Roman" w:hAnsi="Times New Roman" w:cs="Times New Roman"/>
        </w:rPr>
        <w:t xml:space="preserve"> </w:t>
      </w:r>
      <w:r w:rsidR="00BB15CB">
        <w:rPr>
          <w:rFonts w:ascii="Times New Roman" w:hAnsi="Times New Roman" w:cs="Times New Roman"/>
        </w:rPr>
        <w:t xml:space="preserve">is not being “deferred” </w:t>
      </w:r>
      <w:r w:rsidR="00DD18A5">
        <w:rPr>
          <w:rFonts w:ascii="Times New Roman" w:hAnsi="Times New Roman" w:cs="Times New Roman"/>
        </w:rPr>
        <w:t>any more than</w:t>
      </w:r>
      <w:r w:rsidR="00CB431C">
        <w:rPr>
          <w:rFonts w:ascii="Times New Roman" w:hAnsi="Times New Roman" w:cs="Times New Roman"/>
        </w:rPr>
        <w:t xml:space="preserve"> future, unaccrued interest on a bond is deferred.</w:t>
      </w:r>
    </w:p>
    <w:p w14:paraId="741C86D6" w14:textId="5A47D6CB" w:rsidR="00AB1840" w:rsidRDefault="00AB1840" w:rsidP="0096648D">
      <w:pPr>
        <w:widowControl w:val="0"/>
        <w:spacing w:after="240" w:line="240" w:lineRule="auto"/>
        <w:rPr>
          <w:rFonts w:ascii="Times New Roman" w:hAnsi="Times New Roman" w:cs="Times New Roman"/>
        </w:rPr>
      </w:pPr>
      <w:r>
        <w:rPr>
          <w:rFonts w:ascii="Times New Roman" w:hAnsi="Times New Roman" w:cs="Times New Roman"/>
        </w:rPr>
        <w:t>T</w:t>
      </w:r>
      <w:r w:rsidR="00BD5623">
        <w:rPr>
          <w:rFonts w:ascii="Times New Roman" w:hAnsi="Times New Roman" w:cs="Times New Roman"/>
        </w:rPr>
        <w:t xml:space="preserve">reasury and the IRS, in issuing guidance under Code Sec. 367(b), </w:t>
      </w:r>
      <w:r w:rsidR="00215BFA">
        <w:rPr>
          <w:rFonts w:ascii="Times New Roman" w:hAnsi="Times New Roman" w:cs="Times New Roman"/>
        </w:rPr>
        <w:t>have</w:t>
      </w:r>
      <w:r w:rsidR="00BD5623">
        <w:rPr>
          <w:rFonts w:ascii="Times New Roman" w:hAnsi="Times New Roman" w:cs="Times New Roman"/>
        </w:rPr>
        <w:t xml:space="preserve"> ne</w:t>
      </w:r>
      <w:r w:rsidR="00AA3895">
        <w:rPr>
          <w:rFonts w:ascii="Times New Roman" w:hAnsi="Times New Roman" w:cs="Times New Roman"/>
        </w:rPr>
        <w:t xml:space="preserve">ver been concerned with the </w:t>
      </w:r>
      <w:r w:rsidR="00545EBB">
        <w:rPr>
          <w:rFonts w:ascii="Times New Roman" w:hAnsi="Times New Roman" w:cs="Times New Roman"/>
        </w:rPr>
        <w:t>repatriation of E&amp;P and basis attributable to a foreign shareholder that is not a CFC.</w:t>
      </w:r>
      <w:r w:rsidR="009B14E8">
        <w:rPr>
          <w:rStyle w:val="FootnoteReference"/>
          <w:rFonts w:ascii="Times New Roman" w:hAnsi="Times New Roman" w:cs="Times New Roman"/>
        </w:rPr>
        <w:footnoteReference w:id="187"/>
      </w:r>
      <w:r w:rsidR="00545EBB">
        <w:rPr>
          <w:rFonts w:ascii="Times New Roman" w:hAnsi="Times New Roman" w:cs="Times New Roman"/>
        </w:rPr>
        <w:t xml:space="preserve"> The reason for this is that, to the extent that the E&amp;P and basis is attributable to a non-CFC foreign shareholder, the </w:t>
      </w:r>
      <w:r w:rsidR="00545C6E">
        <w:rPr>
          <w:rFonts w:ascii="Times New Roman" w:hAnsi="Times New Roman" w:cs="Times New Roman"/>
        </w:rPr>
        <w:t xml:space="preserve">E&amp;P and basis </w:t>
      </w:r>
      <w:r w:rsidR="00DA5860">
        <w:rPr>
          <w:rFonts w:ascii="Times New Roman" w:hAnsi="Times New Roman" w:cs="Times New Roman"/>
        </w:rPr>
        <w:t>can</w:t>
      </w:r>
      <w:r w:rsidR="00545C6E">
        <w:rPr>
          <w:rFonts w:ascii="Times New Roman" w:hAnsi="Times New Roman" w:cs="Times New Roman"/>
        </w:rPr>
        <w:t xml:space="preserve">not be “repatriated” </w:t>
      </w:r>
      <w:r w:rsidR="001B4F42">
        <w:rPr>
          <w:rFonts w:ascii="Times New Roman" w:hAnsi="Times New Roman" w:cs="Times New Roman"/>
        </w:rPr>
        <w:t>(</w:t>
      </w:r>
      <w:r w:rsidR="00FC678A">
        <w:rPr>
          <w:rFonts w:ascii="Times New Roman" w:hAnsi="Times New Roman" w:cs="Times New Roman"/>
          <w:i/>
          <w:iCs/>
        </w:rPr>
        <w:t>i.e.</w:t>
      </w:r>
      <w:r w:rsidR="00FC678A">
        <w:rPr>
          <w:rFonts w:ascii="Times New Roman" w:hAnsi="Times New Roman" w:cs="Times New Roman"/>
        </w:rPr>
        <w:t xml:space="preserve">, </w:t>
      </w:r>
      <w:r w:rsidR="001B4F42">
        <w:rPr>
          <w:rFonts w:ascii="Times New Roman" w:hAnsi="Times New Roman" w:cs="Times New Roman"/>
        </w:rPr>
        <w:t xml:space="preserve">brought </w:t>
      </w:r>
      <w:r w:rsidR="001B4F42" w:rsidRPr="001B4F42">
        <w:rPr>
          <w:rFonts w:ascii="Times New Roman" w:hAnsi="Times New Roman" w:cs="Times New Roman"/>
          <w:i/>
          <w:iCs/>
        </w:rPr>
        <w:t>back</w:t>
      </w:r>
      <w:r w:rsidR="00DA5860">
        <w:rPr>
          <w:rFonts w:ascii="Times New Roman" w:hAnsi="Times New Roman" w:cs="Times New Roman"/>
          <w:i/>
          <w:iCs/>
        </w:rPr>
        <w:t xml:space="preserve"> </w:t>
      </w:r>
      <w:r w:rsidR="00DA5860">
        <w:rPr>
          <w:rFonts w:ascii="Times New Roman" w:hAnsi="Times New Roman" w:cs="Times New Roman"/>
        </w:rPr>
        <w:t>to the United States</w:t>
      </w:r>
      <w:r w:rsidR="001B4F42">
        <w:rPr>
          <w:rFonts w:ascii="Times New Roman" w:hAnsi="Times New Roman" w:cs="Times New Roman"/>
        </w:rPr>
        <w:t xml:space="preserve">) </w:t>
      </w:r>
      <w:r w:rsidR="00DC27A2">
        <w:rPr>
          <w:rFonts w:ascii="Times New Roman" w:hAnsi="Times New Roman" w:cs="Times New Roman"/>
        </w:rPr>
        <w:t xml:space="preserve">when the </w:t>
      </w:r>
      <w:r w:rsidR="00DA5860">
        <w:rPr>
          <w:rFonts w:ascii="Times New Roman" w:hAnsi="Times New Roman" w:cs="Times New Roman"/>
        </w:rPr>
        <w:t>foreign corporation</w:t>
      </w:r>
      <w:r w:rsidR="00DC27A2">
        <w:rPr>
          <w:rFonts w:ascii="Times New Roman" w:hAnsi="Times New Roman" w:cs="Times New Roman"/>
        </w:rPr>
        <w:t xml:space="preserve"> engages in</w:t>
      </w:r>
      <w:r w:rsidR="003A3A83">
        <w:rPr>
          <w:rFonts w:ascii="Times New Roman" w:hAnsi="Times New Roman" w:cs="Times New Roman"/>
        </w:rPr>
        <w:t xml:space="preserve"> an inbound nonrecognition transaction. </w:t>
      </w:r>
      <w:r w:rsidR="001B3282">
        <w:rPr>
          <w:rFonts w:ascii="Times New Roman" w:hAnsi="Times New Roman" w:cs="Times New Roman"/>
        </w:rPr>
        <w:t>It can be argued</w:t>
      </w:r>
      <w:r w:rsidR="00FC678A">
        <w:rPr>
          <w:rFonts w:ascii="Times New Roman" w:hAnsi="Times New Roman" w:cs="Times New Roman"/>
        </w:rPr>
        <w:t xml:space="preserve"> that</w:t>
      </w:r>
      <w:r w:rsidR="00195CF2">
        <w:rPr>
          <w:rFonts w:ascii="Times New Roman" w:hAnsi="Times New Roman" w:cs="Times New Roman"/>
        </w:rPr>
        <w:t xml:space="preserve"> it would be</w:t>
      </w:r>
      <w:r w:rsidR="00800F51">
        <w:rPr>
          <w:rFonts w:ascii="Times New Roman" w:hAnsi="Times New Roman" w:cs="Times New Roman"/>
        </w:rPr>
        <w:t xml:space="preserve"> equally inappropriate to attribute the E&amp;P of </w:t>
      </w:r>
      <w:r w:rsidR="00195CF2">
        <w:rPr>
          <w:rFonts w:ascii="Times New Roman" w:hAnsi="Times New Roman" w:cs="Times New Roman"/>
        </w:rPr>
        <w:t>that foreign acquired</w:t>
      </w:r>
      <w:r w:rsidR="00800F51">
        <w:rPr>
          <w:rFonts w:ascii="Times New Roman" w:hAnsi="Times New Roman" w:cs="Times New Roman"/>
        </w:rPr>
        <w:t xml:space="preserve"> corporation</w:t>
      </w:r>
      <w:r w:rsidR="00195CF2">
        <w:rPr>
          <w:rFonts w:ascii="Times New Roman" w:hAnsi="Times New Roman" w:cs="Times New Roman"/>
        </w:rPr>
        <w:t xml:space="preserve"> to </w:t>
      </w:r>
      <w:r w:rsidR="000F3A33">
        <w:rPr>
          <w:rFonts w:ascii="Times New Roman" w:hAnsi="Times New Roman" w:cs="Times New Roman"/>
        </w:rPr>
        <w:t xml:space="preserve">a </w:t>
      </w:r>
      <w:r w:rsidR="00195CF2">
        <w:rPr>
          <w:rFonts w:ascii="Times New Roman" w:hAnsi="Times New Roman" w:cs="Times New Roman"/>
        </w:rPr>
        <w:t>small shareholder</w:t>
      </w:r>
      <w:r w:rsidR="00800F51">
        <w:rPr>
          <w:rFonts w:ascii="Times New Roman" w:hAnsi="Times New Roman" w:cs="Times New Roman"/>
        </w:rPr>
        <w:t xml:space="preserve"> in such a manner as to treat </w:t>
      </w:r>
      <w:r w:rsidR="00726945">
        <w:rPr>
          <w:rFonts w:ascii="Times New Roman" w:hAnsi="Times New Roman" w:cs="Times New Roman"/>
        </w:rPr>
        <w:t xml:space="preserve">that E&amp;P and basis as being “brought back” </w:t>
      </w:r>
      <w:r w:rsidR="00DC27A2">
        <w:rPr>
          <w:rFonts w:ascii="Times New Roman" w:hAnsi="Times New Roman" w:cs="Times New Roman"/>
        </w:rPr>
        <w:t>to the United States.</w:t>
      </w:r>
    </w:p>
    <w:p w14:paraId="2D119C4B" w14:textId="2768420C" w:rsidR="005728BF" w:rsidRDefault="005C3543" w:rsidP="0096648D">
      <w:pPr>
        <w:widowControl w:val="0"/>
        <w:spacing w:after="240" w:line="240" w:lineRule="auto"/>
        <w:rPr>
          <w:rFonts w:ascii="Times New Roman" w:hAnsi="Times New Roman" w:cs="Times New Roman"/>
        </w:rPr>
      </w:pPr>
      <w:r>
        <w:rPr>
          <w:rFonts w:ascii="Times New Roman" w:hAnsi="Times New Roman" w:cs="Times New Roman"/>
        </w:rPr>
        <w:t xml:space="preserve">In that respect, even if one concludes that requiring small shareholders to include in their gross income an all E&amp;P amount is consistent with the repatriation principle, it is arguably inconsistent with the distortion principle. </w:t>
      </w:r>
      <w:r w:rsidR="00111F1D">
        <w:rPr>
          <w:rFonts w:ascii="Times New Roman" w:hAnsi="Times New Roman" w:cs="Times New Roman"/>
        </w:rPr>
        <w:t xml:space="preserve">As the preamble to the final regulations </w:t>
      </w:r>
      <w:r w:rsidR="006E7F2F">
        <w:rPr>
          <w:rFonts w:ascii="Times New Roman" w:hAnsi="Times New Roman" w:cs="Times New Roman"/>
        </w:rPr>
        <w:t>made clear, B3 is</w:t>
      </w:r>
      <w:r w:rsidR="006264AD">
        <w:rPr>
          <w:rFonts w:ascii="Times New Roman" w:hAnsi="Times New Roman" w:cs="Times New Roman"/>
        </w:rPr>
        <w:t xml:space="preserve"> intended to perform</w:t>
      </w:r>
      <w:r w:rsidR="00653F3D">
        <w:rPr>
          <w:rFonts w:ascii="Times New Roman" w:hAnsi="Times New Roman" w:cs="Times New Roman"/>
        </w:rPr>
        <w:t xml:space="preserve"> double duty –</w:t>
      </w:r>
      <w:r w:rsidR="006264AD">
        <w:rPr>
          <w:rFonts w:ascii="Times New Roman" w:hAnsi="Times New Roman" w:cs="Times New Roman"/>
        </w:rPr>
        <w:t xml:space="preserve"> to</w:t>
      </w:r>
      <w:r w:rsidR="008540C2">
        <w:rPr>
          <w:rFonts w:ascii="Times New Roman" w:hAnsi="Times New Roman" w:cs="Times New Roman"/>
        </w:rPr>
        <w:t xml:space="preserve"> </w:t>
      </w:r>
      <w:r w:rsidR="006264AD">
        <w:rPr>
          <w:rFonts w:ascii="Times New Roman" w:hAnsi="Times New Roman" w:cs="Times New Roman"/>
        </w:rPr>
        <w:t xml:space="preserve">prevent </w:t>
      </w:r>
      <w:r w:rsidR="008540C2">
        <w:rPr>
          <w:rFonts w:ascii="Times New Roman" w:hAnsi="Times New Roman" w:cs="Times New Roman"/>
        </w:rPr>
        <w:t>both</w:t>
      </w:r>
      <w:r w:rsidR="00653F3D">
        <w:rPr>
          <w:rFonts w:ascii="Times New Roman" w:hAnsi="Times New Roman" w:cs="Times New Roman"/>
        </w:rPr>
        <w:t xml:space="preserve"> </w:t>
      </w:r>
      <w:r w:rsidR="0062013D">
        <w:rPr>
          <w:rFonts w:ascii="Times New Roman" w:hAnsi="Times New Roman" w:cs="Times New Roman"/>
        </w:rPr>
        <w:t>a tax-free repatriation of untaxed E&amp;P and basis</w:t>
      </w:r>
      <w:r w:rsidR="007F14FF">
        <w:rPr>
          <w:rFonts w:ascii="Times New Roman" w:hAnsi="Times New Roman" w:cs="Times New Roman"/>
        </w:rPr>
        <w:t>, but also to prevent material distortion of shareholder income</w:t>
      </w:r>
      <w:r w:rsidR="0062013D">
        <w:rPr>
          <w:rFonts w:ascii="Times New Roman" w:hAnsi="Times New Roman" w:cs="Times New Roman"/>
        </w:rPr>
        <w:t xml:space="preserve">. </w:t>
      </w:r>
      <w:r w:rsidR="005255B7">
        <w:rPr>
          <w:rFonts w:ascii="Times New Roman" w:hAnsi="Times New Roman" w:cs="Times New Roman"/>
        </w:rPr>
        <w:t>In the case of a U.S. shareholder</w:t>
      </w:r>
      <w:r w:rsidR="00DD2729">
        <w:rPr>
          <w:rFonts w:ascii="Times New Roman" w:hAnsi="Times New Roman" w:cs="Times New Roman"/>
        </w:rPr>
        <w:t xml:space="preserve"> </w:t>
      </w:r>
      <w:r w:rsidR="005255B7">
        <w:rPr>
          <w:rFonts w:ascii="Times New Roman" w:hAnsi="Times New Roman" w:cs="Times New Roman"/>
        </w:rPr>
        <w:t xml:space="preserve">that is also a </w:t>
      </w:r>
      <w:r w:rsidR="000B5D25">
        <w:rPr>
          <w:rFonts w:ascii="Times New Roman" w:hAnsi="Times New Roman" w:cs="Times New Roman"/>
        </w:rPr>
        <w:t xml:space="preserve">1248 shareholder, an inclusion of a deemed dividend </w:t>
      </w:r>
      <w:r w:rsidR="0093479E">
        <w:rPr>
          <w:rFonts w:ascii="Times New Roman" w:hAnsi="Times New Roman" w:cs="Times New Roman"/>
        </w:rPr>
        <w:t xml:space="preserve">as a result of an inbound nonrecognition transaction is necessary to prevent a material distortion – </w:t>
      </w:r>
      <w:r w:rsidR="0093479E" w:rsidRPr="00176A39">
        <w:rPr>
          <w:rFonts w:ascii="Times New Roman" w:hAnsi="Times New Roman" w:cs="Times New Roman"/>
          <w:i/>
          <w:iCs/>
        </w:rPr>
        <w:t>i.e.</w:t>
      </w:r>
      <w:r w:rsidR="0093479E">
        <w:rPr>
          <w:rFonts w:ascii="Times New Roman" w:hAnsi="Times New Roman" w:cs="Times New Roman"/>
        </w:rPr>
        <w:t xml:space="preserve">, to prevent the conversion of dividend into capital gain. </w:t>
      </w:r>
      <w:r w:rsidR="003F27A4">
        <w:rPr>
          <w:rFonts w:ascii="Times New Roman" w:hAnsi="Times New Roman" w:cs="Times New Roman"/>
        </w:rPr>
        <w:t>There is no potentia</w:t>
      </w:r>
      <w:r w:rsidR="004E6493">
        <w:rPr>
          <w:rFonts w:ascii="Times New Roman" w:hAnsi="Times New Roman" w:cs="Times New Roman"/>
        </w:rPr>
        <w:t>l fo</w:t>
      </w:r>
      <w:r w:rsidR="00B956D1">
        <w:rPr>
          <w:rFonts w:ascii="Times New Roman" w:hAnsi="Times New Roman" w:cs="Times New Roman"/>
        </w:rPr>
        <w:t xml:space="preserve">r a distortion – material or otherwise – </w:t>
      </w:r>
      <w:r w:rsidR="00583391">
        <w:rPr>
          <w:rFonts w:ascii="Times New Roman" w:hAnsi="Times New Roman" w:cs="Times New Roman"/>
        </w:rPr>
        <w:t xml:space="preserve">in respect to an exchanging shareholder that is a small shareholder. </w:t>
      </w:r>
      <w:r w:rsidR="009B767D">
        <w:rPr>
          <w:rFonts w:ascii="Times New Roman" w:hAnsi="Times New Roman" w:cs="Times New Roman"/>
        </w:rPr>
        <w:t>In that case, the only potential distortion is from</w:t>
      </w:r>
      <w:r w:rsidR="00AB369C">
        <w:rPr>
          <w:rFonts w:ascii="Times New Roman" w:hAnsi="Times New Roman" w:cs="Times New Roman"/>
        </w:rPr>
        <w:t xml:space="preserve"> converting</w:t>
      </w:r>
      <w:r w:rsidR="009B767D">
        <w:rPr>
          <w:rFonts w:ascii="Times New Roman" w:hAnsi="Times New Roman" w:cs="Times New Roman"/>
        </w:rPr>
        <w:t xml:space="preserve"> </w:t>
      </w:r>
      <w:r w:rsidR="009B767D" w:rsidRPr="00253111">
        <w:rPr>
          <w:rFonts w:ascii="Times New Roman" w:hAnsi="Times New Roman" w:cs="Times New Roman"/>
          <w:i/>
          <w:iCs/>
        </w:rPr>
        <w:t>future</w:t>
      </w:r>
      <w:r w:rsidR="009B767D">
        <w:rPr>
          <w:rFonts w:ascii="Times New Roman" w:hAnsi="Times New Roman" w:cs="Times New Roman"/>
        </w:rPr>
        <w:t xml:space="preserve"> dividends that do not qualify for QDI (</w:t>
      </w:r>
      <w:r w:rsidR="00AB369C">
        <w:rPr>
          <w:rFonts w:ascii="Times New Roman" w:hAnsi="Times New Roman" w:cs="Times New Roman"/>
        </w:rPr>
        <w:t>because the foreign acquired corporation is</w:t>
      </w:r>
      <w:r w:rsidR="006913EC">
        <w:rPr>
          <w:rFonts w:ascii="Times New Roman" w:hAnsi="Times New Roman" w:cs="Times New Roman"/>
        </w:rPr>
        <w:t xml:space="preserve"> not a qualified foreign corporation) </w:t>
      </w:r>
      <w:r w:rsidR="0085443E">
        <w:rPr>
          <w:rFonts w:ascii="Times New Roman" w:hAnsi="Times New Roman" w:cs="Times New Roman"/>
        </w:rPr>
        <w:t xml:space="preserve">to QDI. </w:t>
      </w:r>
      <w:r w:rsidR="00F83983">
        <w:rPr>
          <w:rFonts w:ascii="Times New Roman" w:hAnsi="Times New Roman" w:cs="Times New Roman"/>
        </w:rPr>
        <w:t>Indeed, it is</w:t>
      </w:r>
      <w:r w:rsidR="00F274D2">
        <w:rPr>
          <w:rFonts w:ascii="Times New Roman" w:hAnsi="Times New Roman" w:cs="Times New Roman"/>
        </w:rPr>
        <w:t xml:space="preserve"> B</w:t>
      </w:r>
      <w:r w:rsidR="00F83983">
        <w:rPr>
          <w:rFonts w:ascii="Times New Roman" w:hAnsi="Times New Roman" w:cs="Times New Roman"/>
        </w:rPr>
        <w:t>3 as applied to the small shareholder, not the inbound nonrecognition transaction, that is causing a material distortion of income, by overriding the nonrecognition rules of subchapter C</w:t>
      </w:r>
      <w:r w:rsidR="00D4055F">
        <w:rPr>
          <w:rFonts w:ascii="Times New Roman" w:hAnsi="Times New Roman" w:cs="Times New Roman"/>
        </w:rPr>
        <w:t>, and by causing the shareholder to recognize gain</w:t>
      </w:r>
      <w:r w:rsidR="009D263F">
        <w:rPr>
          <w:rFonts w:ascii="Times New Roman" w:hAnsi="Times New Roman" w:cs="Times New Roman"/>
        </w:rPr>
        <w:t>, an inaccurate proxy for its attributable E&amp;P,</w:t>
      </w:r>
      <w:r w:rsidR="00D4055F">
        <w:rPr>
          <w:rFonts w:ascii="Times New Roman" w:hAnsi="Times New Roman" w:cs="Times New Roman"/>
        </w:rPr>
        <w:t xml:space="preserve"> except in the unlikely event that it can obtain the requisite information </w:t>
      </w:r>
      <w:r w:rsidR="007A5BEA">
        <w:rPr>
          <w:rFonts w:ascii="Times New Roman" w:hAnsi="Times New Roman" w:cs="Times New Roman"/>
        </w:rPr>
        <w:t>to make an all E&amp;P election</w:t>
      </w:r>
      <w:r w:rsidR="00F83983">
        <w:rPr>
          <w:rFonts w:ascii="Times New Roman" w:hAnsi="Times New Roman" w:cs="Times New Roman"/>
        </w:rPr>
        <w:t>.</w:t>
      </w:r>
      <w:r w:rsidR="005728BF" w:rsidRPr="00A93728">
        <w:rPr>
          <w:rStyle w:val="FootnoteReference"/>
          <w:rFonts w:ascii="Times New Roman" w:hAnsi="Times New Roman" w:cs="Times New Roman"/>
        </w:rPr>
        <w:footnoteReference w:id="188"/>
      </w:r>
      <w:r w:rsidR="005728BF">
        <w:rPr>
          <w:rFonts w:ascii="Times New Roman" w:hAnsi="Times New Roman" w:cs="Times New Roman"/>
        </w:rPr>
        <w:t xml:space="preserve"> </w:t>
      </w:r>
      <w:r w:rsidR="00F119E7">
        <w:rPr>
          <w:rFonts w:ascii="Times New Roman" w:hAnsi="Times New Roman" w:cs="Times New Roman"/>
        </w:rPr>
        <w:t>Weighing</w:t>
      </w:r>
      <w:r w:rsidR="00DE36EC">
        <w:rPr>
          <w:rFonts w:ascii="Times New Roman" w:hAnsi="Times New Roman" w:cs="Times New Roman"/>
        </w:rPr>
        <w:t xml:space="preserve"> </w:t>
      </w:r>
      <w:r w:rsidR="00E44E77">
        <w:rPr>
          <w:rFonts w:ascii="Times New Roman" w:hAnsi="Times New Roman" w:cs="Times New Roman"/>
        </w:rPr>
        <w:t xml:space="preserve">the </w:t>
      </w:r>
      <w:r w:rsidR="00DE36EC">
        <w:rPr>
          <w:rFonts w:ascii="Times New Roman" w:hAnsi="Times New Roman" w:cs="Times New Roman"/>
        </w:rPr>
        <w:t>repatriation principle against the distortion principle</w:t>
      </w:r>
      <w:r w:rsidR="00F119E7">
        <w:rPr>
          <w:rFonts w:ascii="Times New Roman" w:hAnsi="Times New Roman" w:cs="Times New Roman"/>
        </w:rPr>
        <w:t xml:space="preserve">, one could argue that the distortion </w:t>
      </w:r>
      <w:r w:rsidR="00E83D91">
        <w:rPr>
          <w:rFonts w:ascii="Times New Roman" w:hAnsi="Times New Roman" w:cs="Times New Roman"/>
        </w:rPr>
        <w:t xml:space="preserve">created by </w:t>
      </w:r>
      <w:r w:rsidR="00103625">
        <w:rPr>
          <w:rFonts w:ascii="Times New Roman" w:hAnsi="Times New Roman" w:cs="Times New Roman"/>
        </w:rPr>
        <w:t xml:space="preserve">B3 accelerating </w:t>
      </w:r>
      <w:r w:rsidR="00526F83">
        <w:rPr>
          <w:rFonts w:ascii="Times New Roman" w:hAnsi="Times New Roman" w:cs="Times New Roman"/>
        </w:rPr>
        <w:t xml:space="preserve">the income of </w:t>
      </w:r>
      <w:r w:rsidR="00E83D91">
        <w:rPr>
          <w:rFonts w:ascii="Times New Roman" w:hAnsi="Times New Roman" w:cs="Times New Roman"/>
        </w:rPr>
        <w:t>small shareholders</w:t>
      </w:r>
      <w:r w:rsidR="00526F83">
        <w:rPr>
          <w:rFonts w:ascii="Times New Roman" w:hAnsi="Times New Roman" w:cs="Times New Roman"/>
        </w:rPr>
        <w:t xml:space="preserve"> is </w:t>
      </w:r>
      <w:r w:rsidR="00BE1740">
        <w:rPr>
          <w:rFonts w:ascii="Times New Roman" w:hAnsi="Times New Roman" w:cs="Times New Roman"/>
        </w:rPr>
        <w:t xml:space="preserve">a greater harm than the benefit to the U.S. fisc of </w:t>
      </w:r>
      <w:r w:rsidR="00103625">
        <w:rPr>
          <w:rFonts w:ascii="Times New Roman" w:hAnsi="Times New Roman" w:cs="Times New Roman"/>
        </w:rPr>
        <w:t xml:space="preserve">B3 </w:t>
      </w:r>
      <w:r w:rsidR="00BE1740">
        <w:rPr>
          <w:rFonts w:ascii="Times New Roman" w:hAnsi="Times New Roman" w:cs="Times New Roman"/>
        </w:rPr>
        <w:t xml:space="preserve">policing the </w:t>
      </w:r>
      <w:r w:rsidR="00B768A5">
        <w:rPr>
          <w:rFonts w:ascii="Times New Roman" w:hAnsi="Times New Roman" w:cs="Times New Roman"/>
        </w:rPr>
        <w:t xml:space="preserve">“repatriation” of E&amp;P attributable to such shareholders. </w:t>
      </w:r>
    </w:p>
    <w:p w14:paraId="4F345432" w14:textId="457945D3" w:rsidR="0075016B" w:rsidRDefault="005C3543" w:rsidP="0096648D">
      <w:pPr>
        <w:widowControl w:val="0"/>
        <w:spacing w:after="240" w:line="240" w:lineRule="auto"/>
        <w:rPr>
          <w:rFonts w:ascii="Times New Roman" w:hAnsi="Times New Roman" w:cs="Times New Roman"/>
        </w:rPr>
      </w:pPr>
      <w:r>
        <w:rPr>
          <w:rFonts w:ascii="Times New Roman" w:hAnsi="Times New Roman" w:cs="Times New Roman"/>
        </w:rPr>
        <w:t xml:space="preserve">Even if it was the correct decision to extend B3 to small shareholders in 1991, circumstances have changed to </w:t>
      </w:r>
      <w:r w:rsidR="00253111">
        <w:rPr>
          <w:rFonts w:ascii="Times New Roman" w:hAnsi="Times New Roman" w:cs="Times New Roman"/>
        </w:rPr>
        <w:t xml:space="preserve">perhaps </w:t>
      </w:r>
      <w:r>
        <w:rPr>
          <w:rFonts w:ascii="Times New Roman" w:hAnsi="Times New Roman" w:cs="Times New Roman"/>
        </w:rPr>
        <w:t>justify re-assessing that decision</w:t>
      </w:r>
      <w:r w:rsidR="00253111">
        <w:rPr>
          <w:rFonts w:ascii="Times New Roman" w:hAnsi="Times New Roman" w:cs="Times New Roman"/>
        </w:rPr>
        <w:t xml:space="preserve">. </w:t>
      </w:r>
      <w:r w:rsidR="00E32774">
        <w:rPr>
          <w:rFonts w:ascii="Times New Roman" w:hAnsi="Times New Roman" w:cs="Times New Roman"/>
        </w:rPr>
        <w:t xml:space="preserve">First, </w:t>
      </w:r>
      <w:r w:rsidR="005105D5">
        <w:rPr>
          <w:rFonts w:ascii="Times New Roman" w:hAnsi="Times New Roman" w:cs="Times New Roman"/>
        </w:rPr>
        <w:t xml:space="preserve">to the extent that B3 is intended to </w:t>
      </w:r>
      <w:r w:rsidR="002C2B2F">
        <w:rPr>
          <w:rFonts w:ascii="Times New Roman" w:hAnsi="Times New Roman" w:cs="Times New Roman"/>
        </w:rPr>
        <w:t xml:space="preserve">police </w:t>
      </w:r>
      <w:r w:rsidR="005105D5">
        <w:rPr>
          <w:rFonts w:ascii="Times New Roman" w:hAnsi="Times New Roman" w:cs="Times New Roman"/>
        </w:rPr>
        <w:t xml:space="preserve">importation of basis attributable to U.S. investors, including small shareholders, </w:t>
      </w:r>
      <w:r w:rsidR="00E32774">
        <w:rPr>
          <w:rFonts w:ascii="Times New Roman" w:hAnsi="Times New Roman" w:cs="Times New Roman"/>
        </w:rPr>
        <w:t>the enactment of Code Sec. 362(e)</w:t>
      </w:r>
      <w:r w:rsidR="00472477">
        <w:rPr>
          <w:rFonts w:ascii="Times New Roman" w:hAnsi="Times New Roman" w:cs="Times New Roman"/>
        </w:rPr>
        <w:t xml:space="preserve"> in 2004 </w:t>
      </w:r>
      <w:r w:rsidR="00211E9D">
        <w:rPr>
          <w:rFonts w:ascii="Times New Roman" w:hAnsi="Times New Roman" w:cs="Times New Roman"/>
        </w:rPr>
        <w:t xml:space="preserve">ameliorates </w:t>
      </w:r>
      <w:r w:rsidR="005D3BDD">
        <w:rPr>
          <w:rFonts w:ascii="Times New Roman" w:hAnsi="Times New Roman" w:cs="Times New Roman"/>
          <w:i/>
          <w:iCs/>
        </w:rPr>
        <w:t>some</w:t>
      </w:r>
      <w:r w:rsidR="00211E9D">
        <w:rPr>
          <w:rFonts w:ascii="Times New Roman" w:hAnsi="Times New Roman" w:cs="Times New Roman"/>
        </w:rPr>
        <w:t xml:space="preserve"> of that concern.</w:t>
      </w:r>
      <w:r w:rsidR="0075016B">
        <w:rPr>
          <w:rStyle w:val="FootnoteReference"/>
          <w:rFonts w:ascii="Times New Roman" w:hAnsi="Times New Roman" w:cs="Times New Roman"/>
        </w:rPr>
        <w:footnoteReference w:id="189"/>
      </w:r>
      <w:r w:rsidR="005D3BDD">
        <w:rPr>
          <w:rFonts w:ascii="Times New Roman" w:hAnsi="Times New Roman" w:cs="Times New Roman"/>
        </w:rPr>
        <w:t xml:space="preserve"> </w:t>
      </w:r>
      <w:r w:rsidR="005501B7">
        <w:rPr>
          <w:rFonts w:ascii="Times New Roman" w:hAnsi="Times New Roman" w:cs="Times New Roman"/>
        </w:rPr>
        <w:t>More importantly, it</w:t>
      </w:r>
      <w:r w:rsidR="005D3BDD">
        <w:rPr>
          <w:rFonts w:ascii="Times New Roman" w:hAnsi="Times New Roman" w:cs="Times New Roman"/>
        </w:rPr>
        <w:t xml:space="preserve"> ensures that</w:t>
      </w:r>
      <w:r w:rsidR="005501B7">
        <w:rPr>
          <w:rFonts w:ascii="Times New Roman" w:hAnsi="Times New Roman" w:cs="Times New Roman"/>
        </w:rPr>
        <w:t xml:space="preserve"> all</w:t>
      </w:r>
      <w:r w:rsidR="005D3BDD">
        <w:rPr>
          <w:rFonts w:ascii="Times New Roman" w:hAnsi="Times New Roman" w:cs="Times New Roman"/>
        </w:rPr>
        <w:t xml:space="preserve"> property “imported” i</w:t>
      </w:r>
      <w:r w:rsidR="005501B7">
        <w:rPr>
          <w:rFonts w:ascii="Times New Roman" w:hAnsi="Times New Roman" w:cs="Times New Roman"/>
        </w:rPr>
        <w:t>nto</w:t>
      </w:r>
      <w:r w:rsidR="005D3BDD">
        <w:rPr>
          <w:rFonts w:ascii="Times New Roman" w:hAnsi="Times New Roman" w:cs="Times New Roman"/>
        </w:rPr>
        <w:t xml:space="preserve"> the United States through </w:t>
      </w:r>
      <w:r w:rsidR="005501B7">
        <w:rPr>
          <w:rFonts w:ascii="Times New Roman" w:hAnsi="Times New Roman" w:cs="Times New Roman"/>
        </w:rPr>
        <w:t>inbound nonrecognition</w:t>
      </w:r>
      <w:r w:rsidR="005D3BDD">
        <w:rPr>
          <w:rFonts w:ascii="Times New Roman" w:hAnsi="Times New Roman" w:cs="Times New Roman"/>
        </w:rPr>
        <w:t xml:space="preserve"> transactions either has an aggregate built-in gain or </w:t>
      </w:r>
      <w:r w:rsidR="005501B7">
        <w:rPr>
          <w:rFonts w:ascii="Times New Roman" w:hAnsi="Times New Roman" w:cs="Times New Roman"/>
        </w:rPr>
        <w:t xml:space="preserve">at least not an aggregate built-in loss. As a result, </w:t>
      </w:r>
      <w:r w:rsidR="0090771F">
        <w:rPr>
          <w:rFonts w:ascii="Times New Roman" w:hAnsi="Times New Roman" w:cs="Times New Roman"/>
        </w:rPr>
        <w:t xml:space="preserve">over time and in the aggregate, inbound </w:t>
      </w:r>
      <w:r w:rsidR="0090771F">
        <w:rPr>
          <w:rFonts w:ascii="Times New Roman" w:hAnsi="Times New Roman" w:cs="Times New Roman"/>
        </w:rPr>
        <w:lastRenderedPageBreak/>
        <w:t>nonrecognition transactions, even without the application of B3, will expand</w:t>
      </w:r>
      <w:r w:rsidR="001668BF">
        <w:rPr>
          <w:rFonts w:ascii="Times New Roman" w:hAnsi="Times New Roman" w:cs="Times New Roman"/>
        </w:rPr>
        <w:t xml:space="preserve"> </w:t>
      </w:r>
      <w:r w:rsidR="0090771F">
        <w:rPr>
          <w:rFonts w:ascii="Times New Roman" w:hAnsi="Times New Roman" w:cs="Times New Roman"/>
        </w:rPr>
        <w:t>the U.S. tax base.</w:t>
      </w:r>
      <w:r w:rsidR="0090771F">
        <w:rPr>
          <w:rStyle w:val="FootnoteReference"/>
          <w:rFonts w:ascii="Times New Roman" w:hAnsi="Times New Roman" w:cs="Times New Roman"/>
        </w:rPr>
        <w:footnoteReference w:id="190"/>
      </w:r>
    </w:p>
    <w:p w14:paraId="6C93A45A" w14:textId="02033DBA" w:rsidR="003F4117" w:rsidRDefault="00F63C7F" w:rsidP="0096648D">
      <w:pPr>
        <w:widowControl w:val="0"/>
        <w:spacing w:after="240" w:line="240" w:lineRule="auto"/>
        <w:rPr>
          <w:rFonts w:ascii="Times New Roman" w:hAnsi="Times New Roman" w:cs="Times New Roman"/>
        </w:rPr>
      </w:pPr>
      <w:r>
        <w:rPr>
          <w:rFonts w:ascii="Times New Roman" w:hAnsi="Times New Roman" w:cs="Times New Roman"/>
        </w:rPr>
        <w:t>Further, w</w:t>
      </w:r>
      <w:r w:rsidR="006C2033" w:rsidRPr="006C2033">
        <w:rPr>
          <w:rFonts w:ascii="Times New Roman" w:hAnsi="Times New Roman" w:cs="Times New Roman"/>
        </w:rPr>
        <w:t xml:space="preserve">hile the TCJA did not change the actual treatment of small shareholders, the TCJA has changed the treatment of such shareholders </w:t>
      </w:r>
      <w:r w:rsidR="006C2033" w:rsidRPr="00253111">
        <w:rPr>
          <w:rFonts w:ascii="Times New Roman" w:hAnsi="Times New Roman" w:cs="Times New Roman"/>
          <w:i/>
          <w:iCs/>
        </w:rPr>
        <w:t xml:space="preserve">relative </w:t>
      </w:r>
      <w:r w:rsidR="006C2033" w:rsidRPr="006C2033">
        <w:rPr>
          <w:rFonts w:ascii="Times New Roman" w:hAnsi="Times New Roman" w:cs="Times New Roman"/>
        </w:rPr>
        <w:t>to corporate U</w:t>
      </w:r>
      <w:r w:rsidR="00423060">
        <w:rPr>
          <w:rFonts w:ascii="Times New Roman" w:hAnsi="Times New Roman" w:cs="Times New Roman"/>
        </w:rPr>
        <w:t>.</w:t>
      </w:r>
      <w:r w:rsidR="006C2033" w:rsidRPr="006C2033">
        <w:rPr>
          <w:rFonts w:ascii="Times New Roman" w:hAnsi="Times New Roman" w:cs="Times New Roman"/>
        </w:rPr>
        <w:t>S</w:t>
      </w:r>
      <w:r w:rsidR="00423060">
        <w:rPr>
          <w:rFonts w:ascii="Times New Roman" w:hAnsi="Times New Roman" w:cs="Times New Roman"/>
        </w:rPr>
        <w:t>.</w:t>
      </w:r>
      <w:r w:rsidR="006C2033" w:rsidRPr="006C2033">
        <w:rPr>
          <w:rFonts w:ascii="Times New Roman" w:hAnsi="Times New Roman" w:cs="Times New Roman"/>
        </w:rPr>
        <w:t xml:space="preserve"> shareholders. Pre-TCJA, there was a difference in the treatment of corporate U</w:t>
      </w:r>
      <w:r w:rsidR="00423060">
        <w:rPr>
          <w:rFonts w:ascii="Times New Roman" w:hAnsi="Times New Roman" w:cs="Times New Roman"/>
        </w:rPr>
        <w:t>.</w:t>
      </w:r>
      <w:r w:rsidR="006C2033" w:rsidRPr="006C2033">
        <w:rPr>
          <w:rFonts w:ascii="Times New Roman" w:hAnsi="Times New Roman" w:cs="Times New Roman"/>
        </w:rPr>
        <w:t>S</w:t>
      </w:r>
      <w:r w:rsidR="00423060">
        <w:rPr>
          <w:rFonts w:ascii="Times New Roman" w:hAnsi="Times New Roman" w:cs="Times New Roman"/>
        </w:rPr>
        <w:t>.</w:t>
      </w:r>
      <w:r w:rsidR="006C2033" w:rsidRPr="006C2033">
        <w:rPr>
          <w:rFonts w:ascii="Times New Roman" w:hAnsi="Times New Roman" w:cs="Times New Roman"/>
        </w:rPr>
        <w:t xml:space="preserve"> shareholders versus small shareholders under B3, insofar as corporate U</w:t>
      </w:r>
      <w:r w:rsidR="00423060">
        <w:rPr>
          <w:rFonts w:ascii="Times New Roman" w:hAnsi="Times New Roman" w:cs="Times New Roman"/>
        </w:rPr>
        <w:t>.</w:t>
      </w:r>
      <w:r w:rsidR="006C2033" w:rsidRPr="006C2033">
        <w:rPr>
          <w:rFonts w:ascii="Times New Roman" w:hAnsi="Times New Roman" w:cs="Times New Roman"/>
        </w:rPr>
        <w:t>S</w:t>
      </w:r>
      <w:r w:rsidR="00423060">
        <w:rPr>
          <w:rFonts w:ascii="Times New Roman" w:hAnsi="Times New Roman" w:cs="Times New Roman"/>
        </w:rPr>
        <w:t>.</w:t>
      </w:r>
      <w:r w:rsidR="006C2033" w:rsidRPr="006C2033">
        <w:rPr>
          <w:rFonts w:ascii="Times New Roman" w:hAnsi="Times New Roman" w:cs="Times New Roman"/>
        </w:rPr>
        <w:t xml:space="preserve"> shareholders benefited from FTCs, but the TCJA has greatly increased that disparity, rendering B3 particularly punitive to small shareholders</w:t>
      </w:r>
      <w:r w:rsidR="00253111">
        <w:rPr>
          <w:rFonts w:ascii="Times New Roman" w:hAnsi="Times New Roman" w:cs="Times New Roman"/>
        </w:rPr>
        <w:t>. In fact, corporate U.S. shareholder</w:t>
      </w:r>
      <w:r w:rsidR="00577723">
        <w:rPr>
          <w:rFonts w:ascii="Times New Roman" w:hAnsi="Times New Roman" w:cs="Times New Roman"/>
        </w:rPr>
        <w:t>s</w:t>
      </w:r>
      <w:r w:rsidR="00253111">
        <w:rPr>
          <w:rFonts w:ascii="Times New Roman" w:hAnsi="Times New Roman" w:cs="Times New Roman"/>
        </w:rPr>
        <w:t xml:space="preserve">, once the only </w:t>
      </w:r>
      <w:r w:rsidR="00D5233C">
        <w:rPr>
          <w:rFonts w:ascii="Times New Roman" w:hAnsi="Times New Roman" w:cs="Times New Roman"/>
        </w:rPr>
        <w:t>exchanging shareholder</w:t>
      </w:r>
      <w:r w:rsidR="00577723">
        <w:rPr>
          <w:rFonts w:ascii="Times New Roman" w:hAnsi="Times New Roman" w:cs="Times New Roman"/>
        </w:rPr>
        <w:t>s</w:t>
      </w:r>
      <w:r w:rsidR="00D5233C">
        <w:rPr>
          <w:rFonts w:ascii="Times New Roman" w:hAnsi="Times New Roman" w:cs="Times New Roman"/>
        </w:rPr>
        <w:t xml:space="preserve"> to be required to include </w:t>
      </w:r>
      <w:r w:rsidR="00577723">
        <w:rPr>
          <w:rFonts w:ascii="Times New Roman" w:hAnsi="Times New Roman" w:cs="Times New Roman"/>
        </w:rPr>
        <w:t>their</w:t>
      </w:r>
      <w:r w:rsidR="00D5233C">
        <w:rPr>
          <w:rFonts w:ascii="Times New Roman" w:hAnsi="Times New Roman" w:cs="Times New Roman"/>
        </w:rPr>
        <w:t xml:space="preserve"> all E&amp;P amount in gross income</w:t>
      </w:r>
      <w:r w:rsidR="00577723">
        <w:rPr>
          <w:rFonts w:ascii="Times New Roman" w:hAnsi="Times New Roman" w:cs="Times New Roman"/>
        </w:rPr>
        <w:t xml:space="preserve"> under the guidelines and the temporary regulations,</w:t>
      </w:r>
      <w:r w:rsidR="009E286D" w:rsidRPr="00A93728">
        <w:rPr>
          <w:rStyle w:val="FootnoteReference"/>
          <w:rFonts w:ascii="Times New Roman" w:hAnsi="Times New Roman" w:cs="Times New Roman"/>
        </w:rPr>
        <w:footnoteReference w:id="191"/>
      </w:r>
      <w:r w:rsidR="00577723">
        <w:rPr>
          <w:rFonts w:ascii="Times New Roman" w:hAnsi="Times New Roman" w:cs="Times New Roman"/>
        </w:rPr>
        <w:t xml:space="preserve"> are </w:t>
      </w:r>
      <w:r w:rsidR="00F91D5B">
        <w:rPr>
          <w:rFonts w:ascii="Times New Roman" w:hAnsi="Times New Roman" w:cs="Times New Roman"/>
        </w:rPr>
        <w:t>generally benefited by this inclusion under current law</w:t>
      </w:r>
      <w:r w:rsidR="009B4695">
        <w:rPr>
          <w:rFonts w:ascii="Times New Roman" w:hAnsi="Times New Roman" w:cs="Times New Roman"/>
        </w:rPr>
        <w:t xml:space="preserve">. Assuming </w:t>
      </w:r>
      <w:r w:rsidR="00D8392A">
        <w:rPr>
          <w:rFonts w:ascii="Times New Roman" w:hAnsi="Times New Roman" w:cs="Times New Roman"/>
        </w:rPr>
        <w:t xml:space="preserve">such shareholders </w:t>
      </w:r>
      <w:r w:rsidR="005A79C5">
        <w:rPr>
          <w:rFonts w:ascii="Times New Roman" w:hAnsi="Times New Roman" w:cs="Times New Roman"/>
        </w:rPr>
        <w:t>satisfy the 245A holding period requirement</w:t>
      </w:r>
      <w:r w:rsidR="00297708">
        <w:rPr>
          <w:rFonts w:ascii="Times New Roman" w:hAnsi="Times New Roman" w:cs="Times New Roman"/>
        </w:rPr>
        <w:t xml:space="preserve"> and 1059 holding period requirement</w:t>
      </w:r>
      <w:r w:rsidR="005A79C5">
        <w:rPr>
          <w:rFonts w:ascii="Times New Roman" w:hAnsi="Times New Roman" w:cs="Times New Roman"/>
        </w:rPr>
        <w:t>, and the 245A DRD is not otherwise limited</w:t>
      </w:r>
      <w:r w:rsidR="00E15AEF">
        <w:rPr>
          <w:rFonts w:ascii="Times New Roman" w:hAnsi="Times New Roman" w:cs="Times New Roman"/>
        </w:rPr>
        <w:t>,</w:t>
      </w:r>
      <w:r w:rsidR="00BC1AD2">
        <w:rPr>
          <w:rStyle w:val="FootnoteReference"/>
          <w:rFonts w:ascii="Times New Roman" w:hAnsi="Times New Roman" w:cs="Times New Roman"/>
        </w:rPr>
        <w:footnoteReference w:id="192"/>
      </w:r>
      <w:r w:rsidR="00935277">
        <w:rPr>
          <w:rFonts w:ascii="Times New Roman" w:hAnsi="Times New Roman" w:cs="Times New Roman"/>
        </w:rPr>
        <w:t xml:space="preserve"> an exchanging shareholder </w:t>
      </w:r>
      <w:r w:rsidR="00F219C8">
        <w:rPr>
          <w:rFonts w:ascii="Times New Roman" w:hAnsi="Times New Roman" w:cs="Times New Roman"/>
        </w:rPr>
        <w:t xml:space="preserve">that is </w:t>
      </w:r>
      <w:r w:rsidR="00935277">
        <w:rPr>
          <w:rFonts w:ascii="Times New Roman" w:hAnsi="Times New Roman" w:cs="Times New Roman"/>
        </w:rPr>
        <w:t xml:space="preserve">required to include its all E&amp;P amount into gross income </w:t>
      </w:r>
      <w:r w:rsidR="00F219C8">
        <w:rPr>
          <w:rFonts w:ascii="Times New Roman" w:hAnsi="Times New Roman" w:cs="Times New Roman"/>
        </w:rPr>
        <w:t xml:space="preserve">by reason of an inbound asset reorganization </w:t>
      </w:r>
      <w:r w:rsidR="00935277">
        <w:rPr>
          <w:rFonts w:ascii="Times New Roman" w:hAnsi="Times New Roman" w:cs="Times New Roman"/>
        </w:rPr>
        <w:t xml:space="preserve">would </w:t>
      </w:r>
      <w:r w:rsidR="00297708">
        <w:rPr>
          <w:rFonts w:ascii="Times New Roman" w:hAnsi="Times New Roman" w:cs="Times New Roman"/>
        </w:rPr>
        <w:t xml:space="preserve">receive the benefit of an increase in its basis </w:t>
      </w:r>
      <w:r w:rsidR="00C80C68">
        <w:rPr>
          <w:rFonts w:ascii="Times New Roman" w:hAnsi="Times New Roman" w:cs="Times New Roman"/>
        </w:rPr>
        <w:t xml:space="preserve">in </w:t>
      </w:r>
      <w:r w:rsidR="00AB2B78">
        <w:rPr>
          <w:rFonts w:ascii="Times New Roman" w:hAnsi="Times New Roman" w:cs="Times New Roman"/>
        </w:rPr>
        <w:t>the</w:t>
      </w:r>
      <w:r w:rsidR="00DB6920">
        <w:rPr>
          <w:rFonts w:ascii="Times New Roman" w:hAnsi="Times New Roman" w:cs="Times New Roman"/>
        </w:rPr>
        <w:t xml:space="preserve"> stock of the</w:t>
      </w:r>
      <w:r w:rsidR="00AB2B78">
        <w:rPr>
          <w:rFonts w:ascii="Times New Roman" w:hAnsi="Times New Roman" w:cs="Times New Roman"/>
        </w:rPr>
        <w:t xml:space="preserve"> domestic acquiring corporation by the amount of the deemed dividend.</w:t>
      </w:r>
      <w:r w:rsidR="00AA1A92" w:rsidRPr="00A93728">
        <w:rPr>
          <w:rStyle w:val="FootnoteReference"/>
          <w:rFonts w:ascii="Times New Roman" w:hAnsi="Times New Roman" w:cs="Times New Roman"/>
        </w:rPr>
        <w:footnoteReference w:id="193"/>
      </w:r>
    </w:p>
    <w:p w14:paraId="3AA0AC85" w14:textId="0EC69C2B" w:rsidR="0096648D" w:rsidRPr="0096648D" w:rsidRDefault="005D1BA1" w:rsidP="0037774E">
      <w:pPr>
        <w:spacing w:after="240" w:line="240" w:lineRule="auto"/>
        <w:rPr>
          <w:rFonts w:ascii="Times New Roman" w:hAnsi="Times New Roman" w:cs="Times New Roman"/>
        </w:rPr>
      </w:pPr>
      <w:r w:rsidRPr="0096648D">
        <w:rPr>
          <w:rFonts w:ascii="Times New Roman" w:hAnsi="Times New Roman" w:cs="Times New Roman"/>
        </w:rPr>
        <w:t>Finally</w:t>
      </w:r>
      <w:r w:rsidR="00523B76" w:rsidRPr="0096648D">
        <w:rPr>
          <w:rFonts w:ascii="Times New Roman" w:hAnsi="Times New Roman" w:cs="Times New Roman"/>
        </w:rPr>
        <w:t>, in</w:t>
      </w:r>
      <w:r w:rsidR="00667E3F" w:rsidRPr="0096648D">
        <w:rPr>
          <w:rFonts w:ascii="Times New Roman" w:hAnsi="Times New Roman" w:cs="Times New Roman"/>
        </w:rPr>
        <w:t xml:space="preserve"> the 1962 House Report, Congress </w:t>
      </w:r>
      <w:r w:rsidR="0083795B" w:rsidRPr="0096648D">
        <w:rPr>
          <w:rFonts w:ascii="Times New Roman" w:hAnsi="Times New Roman" w:cs="Times New Roman"/>
        </w:rPr>
        <w:t>cautioned</w:t>
      </w:r>
      <w:r w:rsidR="00667E3F" w:rsidRPr="0096648D">
        <w:rPr>
          <w:rFonts w:ascii="Times New Roman" w:hAnsi="Times New Roman" w:cs="Times New Roman"/>
        </w:rPr>
        <w:t xml:space="preserve"> </w:t>
      </w:r>
      <w:r w:rsidR="00761C2D" w:rsidRPr="0096648D">
        <w:rPr>
          <w:rFonts w:ascii="Times New Roman" w:hAnsi="Times New Roman" w:cs="Times New Roman"/>
        </w:rPr>
        <w:t xml:space="preserve">Treasury and the IRS, in drafting regulations, </w:t>
      </w:r>
      <w:r w:rsidR="00667E3F" w:rsidRPr="0096648D">
        <w:rPr>
          <w:rFonts w:ascii="Times New Roman" w:hAnsi="Times New Roman" w:cs="Times New Roman"/>
        </w:rPr>
        <w:t>that “unnecessary barriers to justifiable and legitimate business transactions should be avoided.”</w:t>
      </w:r>
      <w:r w:rsidR="00667E3F" w:rsidRPr="0096648D">
        <w:rPr>
          <w:rStyle w:val="FootnoteReference"/>
          <w:rFonts w:ascii="Times New Roman" w:hAnsi="Times New Roman" w:cs="Times New Roman"/>
        </w:rPr>
        <w:footnoteReference w:id="194"/>
      </w:r>
      <w:r w:rsidR="0083795B" w:rsidRPr="0096648D">
        <w:rPr>
          <w:rFonts w:ascii="Times New Roman" w:hAnsi="Times New Roman" w:cs="Times New Roman"/>
        </w:rPr>
        <w:t xml:space="preserve"> </w:t>
      </w:r>
      <w:r w:rsidR="00173ABD" w:rsidRPr="0096648D">
        <w:rPr>
          <w:rFonts w:ascii="Times New Roman" w:hAnsi="Times New Roman" w:cs="Times New Roman"/>
        </w:rPr>
        <w:t xml:space="preserve">Arguably, the </w:t>
      </w:r>
      <w:r w:rsidR="0083795B" w:rsidRPr="0096648D">
        <w:rPr>
          <w:rFonts w:ascii="Times New Roman" w:hAnsi="Times New Roman" w:cs="Times New Roman"/>
        </w:rPr>
        <w:t xml:space="preserve">treatment of </w:t>
      </w:r>
      <w:r w:rsidR="00173ABD" w:rsidRPr="0096648D">
        <w:rPr>
          <w:rFonts w:ascii="Times New Roman" w:hAnsi="Times New Roman" w:cs="Times New Roman"/>
        </w:rPr>
        <w:t xml:space="preserve">small shareholders in inbound nonrecognition transaction </w:t>
      </w:r>
      <w:r w:rsidR="00677AE4" w:rsidRPr="0096648D">
        <w:rPr>
          <w:rFonts w:ascii="Times New Roman" w:hAnsi="Times New Roman" w:cs="Times New Roman"/>
        </w:rPr>
        <w:t>has become an</w:t>
      </w:r>
      <w:r w:rsidR="004951C6" w:rsidRPr="0096648D">
        <w:rPr>
          <w:rFonts w:ascii="Times New Roman" w:hAnsi="Times New Roman" w:cs="Times New Roman"/>
        </w:rPr>
        <w:t xml:space="preserve"> “unnecessary barrier”</w:t>
      </w:r>
      <w:r w:rsidR="00677AE4" w:rsidRPr="0096648D">
        <w:rPr>
          <w:rFonts w:ascii="Times New Roman" w:hAnsi="Times New Roman" w:cs="Times New Roman"/>
        </w:rPr>
        <w:t xml:space="preserve"> in third-party transaction</w:t>
      </w:r>
      <w:r w:rsidR="00D132AB" w:rsidRPr="0096648D">
        <w:rPr>
          <w:rFonts w:ascii="Times New Roman" w:hAnsi="Times New Roman" w:cs="Times New Roman"/>
        </w:rPr>
        <w:t>s</w:t>
      </w:r>
      <w:r w:rsidR="00677AE4" w:rsidRPr="0096648D">
        <w:rPr>
          <w:rFonts w:ascii="Times New Roman" w:hAnsi="Times New Roman" w:cs="Times New Roman"/>
        </w:rPr>
        <w:t>. As commentators have noted</w:t>
      </w:r>
      <w:r w:rsidR="000A273D" w:rsidRPr="0096648D">
        <w:rPr>
          <w:rFonts w:ascii="Times New Roman" w:hAnsi="Times New Roman" w:cs="Times New Roman"/>
        </w:rPr>
        <w:t xml:space="preserve"> recently</w:t>
      </w:r>
      <w:r w:rsidR="00677AE4" w:rsidRPr="0096648D">
        <w:rPr>
          <w:rFonts w:ascii="Times New Roman" w:hAnsi="Times New Roman" w:cs="Times New Roman"/>
        </w:rPr>
        <w:t xml:space="preserve">, </w:t>
      </w:r>
      <w:r w:rsidR="00A36253" w:rsidRPr="0096648D">
        <w:rPr>
          <w:rFonts w:ascii="Times New Roman" w:hAnsi="Times New Roman" w:cs="Times New Roman"/>
        </w:rPr>
        <w:t>the potential</w:t>
      </w:r>
      <w:r w:rsidR="00525E79" w:rsidRPr="0096648D">
        <w:rPr>
          <w:rFonts w:ascii="Times New Roman" w:hAnsi="Times New Roman" w:cs="Times New Roman"/>
        </w:rPr>
        <w:t xml:space="preserve"> application of B3</w:t>
      </w:r>
      <w:r w:rsidR="00B867F5" w:rsidRPr="0096648D">
        <w:rPr>
          <w:rFonts w:ascii="Times New Roman" w:hAnsi="Times New Roman" w:cs="Times New Roman"/>
        </w:rPr>
        <w:t xml:space="preserve"> to the</w:t>
      </w:r>
      <w:r w:rsidR="00641932" w:rsidRPr="0096648D">
        <w:rPr>
          <w:rFonts w:ascii="Times New Roman" w:hAnsi="Times New Roman" w:cs="Times New Roman"/>
        </w:rPr>
        <w:t xml:space="preserve"> individual U</w:t>
      </w:r>
      <w:r w:rsidR="002D6F06" w:rsidRPr="0096648D">
        <w:rPr>
          <w:rFonts w:ascii="Times New Roman" w:hAnsi="Times New Roman" w:cs="Times New Roman"/>
        </w:rPr>
        <w:t>.</w:t>
      </w:r>
      <w:r w:rsidR="00641932" w:rsidRPr="0096648D">
        <w:rPr>
          <w:rFonts w:ascii="Times New Roman" w:hAnsi="Times New Roman" w:cs="Times New Roman"/>
        </w:rPr>
        <w:t>S</w:t>
      </w:r>
      <w:r w:rsidR="002D6F06" w:rsidRPr="0096648D">
        <w:rPr>
          <w:rFonts w:ascii="Times New Roman" w:hAnsi="Times New Roman" w:cs="Times New Roman"/>
        </w:rPr>
        <w:t>.</w:t>
      </w:r>
      <w:r w:rsidR="00B867F5" w:rsidRPr="0096648D">
        <w:rPr>
          <w:rFonts w:ascii="Times New Roman" w:hAnsi="Times New Roman" w:cs="Times New Roman"/>
        </w:rPr>
        <w:t xml:space="preserve"> shareholders</w:t>
      </w:r>
      <w:r w:rsidR="00641932" w:rsidRPr="0096648D">
        <w:rPr>
          <w:rFonts w:ascii="Times New Roman" w:hAnsi="Times New Roman" w:cs="Times New Roman"/>
        </w:rPr>
        <w:t xml:space="preserve"> and the small shareholders</w:t>
      </w:r>
      <w:r w:rsidR="00B867F5" w:rsidRPr="0096648D">
        <w:rPr>
          <w:rFonts w:ascii="Times New Roman" w:hAnsi="Times New Roman" w:cs="Times New Roman"/>
        </w:rPr>
        <w:t xml:space="preserve"> of the </w:t>
      </w:r>
      <w:r w:rsidR="00641932" w:rsidRPr="0096648D">
        <w:rPr>
          <w:rFonts w:ascii="Times New Roman" w:hAnsi="Times New Roman" w:cs="Times New Roman"/>
        </w:rPr>
        <w:t>foreign acquired corporation operates as an</w:t>
      </w:r>
      <w:r w:rsidR="00DA632B" w:rsidRPr="0096648D">
        <w:rPr>
          <w:rFonts w:ascii="Times New Roman" w:hAnsi="Times New Roman" w:cs="Times New Roman"/>
        </w:rPr>
        <w:t xml:space="preserve"> unnecessary</w:t>
      </w:r>
      <w:r w:rsidR="00641932" w:rsidRPr="0096648D">
        <w:rPr>
          <w:rFonts w:ascii="Times New Roman" w:hAnsi="Times New Roman" w:cs="Times New Roman"/>
        </w:rPr>
        <w:t xml:space="preserve"> impediment to normal business </w:t>
      </w:r>
      <w:r w:rsidR="00DA632B" w:rsidRPr="0096648D">
        <w:rPr>
          <w:rFonts w:ascii="Times New Roman" w:hAnsi="Times New Roman" w:cs="Times New Roman"/>
        </w:rPr>
        <w:t>combinations</w:t>
      </w:r>
      <w:r w:rsidR="0037774E">
        <w:rPr>
          <w:rFonts w:ascii="Times New Roman" w:hAnsi="Times New Roman" w:cs="Times New Roman"/>
        </w:rPr>
        <w:t>.</w:t>
      </w:r>
      <w:r w:rsidR="0037774E" w:rsidRPr="0096648D">
        <w:rPr>
          <w:rStyle w:val="FootnoteReference"/>
          <w:rFonts w:ascii="Times New Roman" w:hAnsi="Times New Roman" w:cs="Times New Roman"/>
        </w:rPr>
        <w:footnoteReference w:id="195"/>
      </w:r>
      <w:r w:rsidR="008B74EA">
        <w:rPr>
          <w:rFonts w:ascii="Times New Roman" w:hAnsi="Times New Roman" w:cs="Times New Roman"/>
        </w:rPr>
        <w:t xml:space="preserve"> </w:t>
      </w:r>
      <w:r w:rsidR="00DA632B" w:rsidRPr="0096648D">
        <w:rPr>
          <w:rFonts w:ascii="Times New Roman" w:hAnsi="Times New Roman" w:cs="Times New Roman"/>
        </w:rPr>
        <w:t>Because corporate U.S. shareholders may avail themselves of the 245A DRD with respect to dividends, including a deemed dividend of an all E&amp;P amount (assuming the 245A holding period requirement is satisfied),</w:t>
      </w:r>
      <w:r w:rsidR="0037774E">
        <w:rPr>
          <w:rFonts w:ascii="Times New Roman" w:hAnsi="Times New Roman" w:cs="Times New Roman"/>
        </w:rPr>
        <w:t xml:space="preserve"> taxpayer can</w:t>
      </w:r>
      <w:r w:rsidR="00BD303B" w:rsidRPr="0096648D">
        <w:rPr>
          <w:rFonts w:ascii="Times New Roman" w:hAnsi="Times New Roman" w:cs="Times New Roman"/>
        </w:rPr>
        <w:t xml:space="preserve"> </w:t>
      </w:r>
      <w:r w:rsidR="00C1784E">
        <w:rPr>
          <w:rFonts w:ascii="Times New Roman" w:hAnsi="Times New Roman" w:cs="Times New Roman"/>
        </w:rPr>
        <w:t xml:space="preserve">obtain better treatment under the </w:t>
      </w:r>
      <w:r w:rsidR="0037774E">
        <w:rPr>
          <w:rFonts w:ascii="Times New Roman" w:hAnsi="Times New Roman" w:cs="Times New Roman"/>
        </w:rPr>
        <w:t xml:space="preserve">367(b) regulations if they can structure an acquisition of a foreign target </w:t>
      </w:r>
      <w:r w:rsidR="00BD303B" w:rsidRPr="0096648D">
        <w:rPr>
          <w:rFonts w:ascii="Times New Roman" w:hAnsi="Times New Roman" w:cs="Times New Roman"/>
        </w:rPr>
        <w:t xml:space="preserve">as </w:t>
      </w:r>
      <w:r w:rsidR="0037774E">
        <w:rPr>
          <w:rFonts w:ascii="Times New Roman" w:hAnsi="Times New Roman" w:cs="Times New Roman"/>
        </w:rPr>
        <w:t xml:space="preserve">an </w:t>
      </w:r>
      <w:r w:rsidR="00DA5F5E">
        <w:rPr>
          <w:rFonts w:ascii="Times New Roman" w:hAnsi="Times New Roman" w:cs="Times New Roman"/>
        </w:rPr>
        <w:t>inbound</w:t>
      </w:r>
      <w:r w:rsidR="00857184" w:rsidRPr="0096648D">
        <w:rPr>
          <w:rFonts w:ascii="Times New Roman" w:hAnsi="Times New Roman" w:cs="Times New Roman"/>
        </w:rPr>
        <w:t xml:space="preserve"> stock acquisition, followed by </w:t>
      </w:r>
      <w:r w:rsidR="00A05C55" w:rsidRPr="0096648D">
        <w:rPr>
          <w:rFonts w:ascii="Times New Roman" w:hAnsi="Times New Roman" w:cs="Times New Roman"/>
        </w:rPr>
        <w:t xml:space="preserve">a subsequent </w:t>
      </w:r>
      <w:r w:rsidR="00377EAF" w:rsidRPr="0096648D">
        <w:rPr>
          <w:rFonts w:ascii="Times New Roman" w:hAnsi="Times New Roman" w:cs="Times New Roman"/>
        </w:rPr>
        <w:t xml:space="preserve">inbound </w:t>
      </w:r>
      <w:r w:rsidR="00391ABD" w:rsidRPr="0096648D">
        <w:rPr>
          <w:rFonts w:ascii="Times New Roman" w:hAnsi="Times New Roman" w:cs="Times New Roman"/>
        </w:rPr>
        <w:t xml:space="preserve">nonrecognition transaction </w:t>
      </w:r>
      <w:r w:rsidR="00377EAF" w:rsidRPr="0096648D">
        <w:rPr>
          <w:rFonts w:ascii="Times New Roman" w:hAnsi="Times New Roman" w:cs="Times New Roman"/>
        </w:rPr>
        <w:t xml:space="preserve">of the domestic </w:t>
      </w:r>
      <w:r w:rsidR="00795149" w:rsidRPr="0096648D">
        <w:rPr>
          <w:rFonts w:ascii="Times New Roman" w:hAnsi="Times New Roman" w:cs="Times New Roman"/>
        </w:rPr>
        <w:t xml:space="preserve">acquiring corporation. </w:t>
      </w:r>
      <w:r w:rsidR="009B3C15" w:rsidRPr="0096648D">
        <w:rPr>
          <w:rFonts w:ascii="Times New Roman" w:hAnsi="Times New Roman" w:cs="Times New Roman"/>
        </w:rPr>
        <w:t xml:space="preserve">While </w:t>
      </w:r>
      <w:r w:rsidR="00376239" w:rsidRPr="0096648D">
        <w:rPr>
          <w:rFonts w:ascii="Times New Roman" w:hAnsi="Times New Roman" w:cs="Times New Roman"/>
        </w:rPr>
        <w:t xml:space="preserve">an inbound </w:t>
      </w:r>
      <w:r w:rsidR="00391ABD" w:rsidRPr="0096648D">
        <w:rPr>
          <w:rFonts w:ascii="Times New Roman" w:hAnsi="Times New Roman" w:cs="Times New Roman"/>
        </w:rPr>
        <w:t xml:space="preserve">nonrecognition transaction </w:t>
      </w:r>
      <w:r w:rsidR="00376239" w:rsidRPr="0096648D">
        <w:rPr>
          <w:rFonts w:ascii="Times New Roman" w:hAnsi="Times New Roman" w:cs="Times New Roman"/>
        </w:rPr>
        <w:t xml:space="preserve">of the foreign acquired corporation within one year of the </w:t>
      </w:r>
      <w:r w:rsidR="00767476" w:rsidRPr="0096648D">
        <w:rPr>
          <w:rFonts w:ascii="Times New Roman" w:hAnsi="Times New Roman" w:cs="Times New Roman"/>
        </w:rPr>
        <w:t xml:space="preserve">stock </w:t>
      </w:r>
      <w:r w:rsidR="00376239" w:rsidRPr="0096648D">
        <w:rPr>
          <w:rFonts w:ascii="Times New Roman" w:hAnsi="Times New Roman" w:cs="Times New Roman"/>
        </w:rPr>
        <w:t xml:space="preserve">acquisition would likely fail the 245A holding period requirement under current law, </w:t>
      </w:r>
      <w:r w:rsidR="0040766B" w:rsidRPr="0096648D">
        <w:rPr>
          <w:rFonts w:ascii="Times New Roman" w:hAnsi="Times New Roman" w:cs="Times New Roman"/>
        </w:rPr>
        <w:t xml:space="preserve">commentators have </w:t>
      </w:r>
      <w:r w:rsidR="000121CD" w:rsidRPr="0096648D">
        <w:rPr>
          <w:rFonts w:ascii="Times New Roman" w:hAnsi="Times New Roman" w:cs="Times New Roman"/>
        </w:rPr>
        <w:t xml:space="preserve">requested that Treasury and the IRS consider a rule </w:t>
      </w:r>
      <w:r w:rsidR="00173AFE" w:rsidRPr="0096648D">
        <w:rPr>
          <w:rFonts w:ascii="Times New Roman" w:hAnsi="Times New Roman" w:cs="Times New Roman"/>
        </w:rPr>
        <w:t xml:space="preserve">that would permit the domestic acquiring corporation to satisfy the 245A holding period requirement </w:t>
      </w:r>
      <w:r w:rsidR="009B323B" w:rsidRPr="0096648D">
        <w:rPr>
          <w:rFonts w:ascii="Times New Roman" w:hAnsi="Times New Roman" w:cs="Times New Roman"/>
        </w:rPr>
        <w:t>after the transaction, by continuing to hold the assets of the foreign acquired corporation.</w:t>
      </w:r>
      <w:r w:rsidR="00CE3A16" w:rsidRPr="0096648D">
        <w:rPr>
          <w:rStyle w:val="FootnoteReference"/>
          <w:rFonts w:ascii="Times New Roman" w:hAnsi="Times New Roman" w:cs="Times New Roman"/>
        </w:rPr>
        <w:footnoteReference w:id="196"/>
      </w:r>
      <w:r w:rsidR="00B63FBD" w:rsidRPr="0096648D">
        <w:rPr>
          <w:rFonts w:ascii="Times New Roman" w:hAnsi="Times New Roman" w:cs="Times New Roman"/>
        </w:rPr>
        <w:t xml:space="preserve"> </w:t>
      </w:r>
      <w:r w:rsidR="000121CD" w:rsidRPr="0096648D">
        <w:rPr>
          <w:rFonts w:ascii="Times New Roman" w:hAnsi="Times New Roman" w:cs="Times New Roman"/>
        </w:rPr>
        <w:t xml:space="preserve">If </w:t>
      </w:r>
      <w:r w:rsidR="009B323B" w:rsidRPr="0096648D">
        <w:rPr>
          <w:rFonts w:ascii="Times New Roman" w:hAnsi="Times New Roman" w:cs="Times New Roman"/>
        </w:rPr>
        <w:t>t</w:t>
      </w:r>
      <w:r w:rsidR="00134014" w:rsidRPr="0096648D">
        <w:rPr>
          <w:rFonts w:ascii="Times New Roman" w:hAnsi="Times New Roman" w:cs="Times New Roman"/>
        </w:rPr>
        <w:t xml:space="preserve">his </w:t>
      </w:r>
      <w:r w:rsidR="003A1A60" w:rsidRPr="0096648D">
        <w:rPr>
          <w:rFonts w:ascii="Times New Roman" w:hAnsi="Times New Roman" w:cs="Times New Roman"/>
        </w:rPr>
        <w:t xml:space="preserve">design change </w:t>
      </w:r>
      <w:r w:rsidR="002D679C" w:rsidRPr="0096648D">
        <w:rPr>
          <w:rFonts w:ascii="Times New Roman" w:hAnsi="Times New Roman" w:cs="Times New Roman"/>
        </w:rPr>
        <w:t>were</w:t>
      </w:r>
      <w:r w:rsidR="009B323B" w:rsidRPr="0096648D">
        <w:rPr>
          <w:rFonts w:ascii="Times New Roman" w:hAnsi="Times New Roman" w:cs="Times New Roman"/>
        </w:rPr>
        <w:t xml:space="preserve"> </w:t>
      </w:r>
      <w:r w:rsidR="003A1A60" w:rsidRPr="0096648D">
        <w:rPr>
          <w:rFonts w:ascii="Times New Roman" w:hAnsi="Times New Roman" w:cs="Times New Roman"/>
        </w:rPr>
        <w:t>made</w:t>
      </w:r>
      <w:r w:rsidR="009B323B" w:rsidRPr="0096648D">
        <w:rPr>
          <w:rFonts w:ascii="Times New Roman" w:hAnsi="Times New Roman" w:cs="Times New Roman"/>
        </w:rPr>
        <w:t xml:space="preserve">, </w:t>
      </w:r>
      <w:r w:rsidR="004D7339" w:rsidRPr="0096648D">
        <w:rPr>
          <w:rFonts w:ascii="Times New Roman" w:hAnsi="Times New Roman" w:cs="Times New Roman"/>
        </w:rPr>
        <w:t xml:space="preserve">and small shareholders </w:t>
      </w:r>
      <w:r w:rsidR="00134014" w:rsidRPr="0096648D">
        <w:rPr>
          <w:rFonts w:ascii="Times New Roman" w:hAnsi="Times New Roman" w:cs="Times New Roman"/>
        </w:rPr>
        <w:t>were</w:t>
      </w:r>
      <w:r w:rsidR="004D7339" w:rsidRPr="0096648D">
        <w:rPr>
          <w:rFonts w:ascii="Times New Roman" w:hAnsi="Times New Roman" w:cs="Times New Roman"/>
        </w:rPr>
        <w:t xml:space="preserve"> not generally excepted </w:t>
      </w:r>
      <w:r w:rsidR="002D679C" w:rsidRPr="0096648D">
        <w:rPr>
          <w:rFonts w:ascii="Times New Roman" w:hAnsi="Times New Roman" w:cs="Times New Roman"/>
        </w:rPr>
        <w:t xml:space="preserve">from the application of B3, </w:t>
      </w:r>
      <w:r w:rsidR="00134014" w:rsidRPr="0096648D">
        <w:rPr>
          <w:rFonts w:ascii="Times New Roman" w:hAnsi="Times New Roman" w:cs="Times New Roman"/>
        </w:rPr>
        <w:t xml:space="preserve">this </w:t>
      </w:r>
      <w:r w:rsidR="00AA0544" w:rsidRPr="0096648D">
        <w:rPr>
          <w:rFonts w:ascii="Times New Roman" w:hAnsi="Times New Roman" w:cs="Times New Roman"/>
        </w:rPr>
        <w:lastRenderedPageBreak/>
        <w:t xml:space="preserve">change </w:t>
      </w:r>
      <w:r w:rsidR="00134014" w:rsidRPr="0096648D">
        <w:rPr>
          <w:rFonts w:ascii="Times New Roman" w:hAnsi="Times New Roman" w:cs="Times New Roman"/>
        </w:rPr>
        <w:t xml:space="preserve">would further compel </w:t>
      </w:r>
      <w:r w:rsidR="00710E68" w:rsidRPr="0096648D">
        <w:rPr>
          <w:rFonts w:ascii="Times New Roman" w:hAnsi="Times New Roman" w:cs="Times New Roman"/>
        </w:rPr>
        <w:t xml:space="preserve">taxpayers to structure </w:t>
      </w:r>
      <w:r w:rsidR="007D69C0" w:rsidRPr="0096648D">
        <w:rPr>
          <w:rFonts w:ascii="Times New Roman" w:hAnsi="Times New Roman" w:cs="Times New Roman"/>
        </w:rPr>
        <w:t>acquisitions as stock transactions</w:t>
      </w:r>
      <w:r w:rsidR="004C4C0A" w:rsidRPr="0096648D">
        <w:rPr>
          <w:rFonts w:ascii="Times New Roman" w:hAnsi="Times New Roman" w:cs="Times New Roman"/>
        </w:rPr>
        <w:t xml:space="preserve"> for no compelling policy reason.</w:t>
      </w:r>
      <w:r w:rsidR="004C4C0A" w:rsidRPr="0096648D">
        <w:rPr>
          <w:rStyle w:val="FootnoteReference"/>
          <w:rFonts w:ascii="Times New Roman" w:hAnsi="Times New Roman" w:cs="Times New Roman"/>
        </w:rPr>
        <w:footnoteReference w:id="197"/>
      </w:r>
    </w:p>
    <w:p w14:paraId="5A647EDA" w14:textId="676A20BB" w:rsidR="00B96FD4" w:rsidRDefault="005E6B82" w:rsidP="0096648D">
      <w:pPr>
        <w:pStyle w:val="Heading3"/>
        <w:keepNext w:val="0"/>
        <w:keepLines w:val="0"/>
        <w:widowControl w:val="0"/>
      </w:pPr>
      <w:r>
        <w:t>Elective exclusion for non-</w:t>
      </w:r>
      <w:r w:rsidR="00F71833">
        <w:t>245A shareholders</w:t>
      </w:r>
    </w:p>
    <w:p w14:paraId="4645530F" w14:textId="2A833F18" w:rsidR="00B96FD4" w:rsidRDefault="00557C42" w:rsidP="0096648D">
      <w:pPr>
        <w:widowControl w:val="0"/>
        <w:tabs>
          <w:tab w:val="left" w:pos="8341"/>
        </w:tabs>
        <w:spacing w:after="240" w:line="240" w:lineRule="auto"/>
        <w:rPr>
          <w:rFonts w:ascii="Times New Roman" w:hAnsi="Times New Roman" w:cs="Times New Roman"/>
        </w:rPr>
      </w:pPr>
      <w:r>
        <w:rPr>
          <w:rFonts w:ascii="Times New Roman" w:hAnsi="Times New Roman" w:cs="Times New Roman"/>
        </w:rPr>
        <w:t>Treasury and the IRS should</w:t>
      </w:r>
      <w:r w:rsidR="00F37BF1">
        <w:rPr>
          <w:rFonts w:ascii="Times New Roman" w:hAnsi="Times New Roman" w:cs="Times New Roman"/>
        </w:rPr>
        <w:t xml:space="preserve"> also</w:t>
      </w:r>
      <w:r>
        <w:rPr>
          <w:rFonts w:ascii="Times New Roman" w:hAnsi="Times New Roman" w:cs="Times New Roman"/>
        </w:rPr>
        <w:t xml:space="preserve"> </w:t>
      </w:r>
      <w:r w:rsidR="00DF66A0">
        <w:rPr>
          <w:rFonts w:ascii="Times New Roman" w:hAnsi="Times New Roman" w:cs="Times New Roman"/>
        </w:rPr>
        <w:t>consider an election that</w:t>
      </w:r>
      <w:r w:rsidR="00CF0CE0">
        <w:rPr>
          <w:rFonts w:ascii="Times New Roman" w:hAnsi="Times New Roman" w:cs="Times New Roman"/>
        </w:rPr>
        <w:t>, if made,</w:t>
      </w:r>
      <w:r w:rsidR="00DF66A0">
        <w:rPr>
          <w:rFonts w:ascii="Times New Roman" w:hAnsi="Times New Roman" w:cs="Times New Roman"/>
        </w:rPr>
        <w:t xml:space="preserve"> would </w:t>
      </w:r>
      <w:r w:rsidR="00CF0CE0">
        <w:rPr>
          <w:rFonts w:ascii="Times New Roman" w:hAnsi="Times New Roman" w:cs="Times New Roman"/>
        </w:rPr>
        <w:t xml:space="preserve">exclude </w:t>
      </w:r>
      <w:r w:rsidR="00DF66A0">
        <w:rPr>
          <w:rFonts w:ascii="Times New Roman" w:hAnsi="Times New Roman" w:cs="Times New Roman"/>
        </w:rPr>
        <w:t>small shareholders</w:t>
      </w:r>
      <w:r w:rsidR="00560E33">
        <w:rPr>
          <w:rFonts w:ascii="Times New Roman" w:hAnsi="Times New Roman" w:cs="Times New Roman"/>
        </w:rPr>
        <w:t xml:space="preserve"> and</w:t>
      </w:r>
      <w:r w:rsidR="00DF66A0">
        <w:rPr>
          <w:rFonts w:ascii="Times New Roman" w:hAnsi="Times New Roman" w:cs="Times New Roman"/>
        </w:rPr>
        <w:t xml:space="preserve"> individual U</w:t>
      </w:r>
      <w:r w:rsidR="002E535D">
        <w:rPr>
          <w:rFonts w:ascii="Times New Roman" w:hAnsi="Times New Roman" w:cs="Times New Roman"/>
        </w:rPr>
        <w:t>.</w:t>
      </w:r>
      <w:r w:rsidR="00DF66A0">
        <w:rPr>
          <w:rFonts w:ascii="Times New Roman" w:hAnsi="Times New Roman" w:cs="Times New Roman"/>
        </w:rPr>
        <w:t>S</w:t>
      </w:r>
      <w:r w:rsidR="002E535D">
        <w:rPr>
          <w:rFonts w:ascii="Times New Roman" w:hAnsi="Times New Roman" w:cs="Times New Roman"/>
        </w:rPr>
        <w:t>.</w:t>
      </w:r>
      <w:r w:rsidR="00DF66A0">
        <w:rPr>
          <w:rFonts w:ascii="Times New Roman" w:hAnsi="Times New Roman" w:cs="Times New Roman"/>
        </w:rPr>
        <w:t xml:space="preserve"> shareholders</w:t>
      </w:r>
      <w:r w:rsidR="00386E80">
        <w:rPr>
          <w:rFonts w:ascii="Times New Roman" w:hAnsi="Times New Roman" w:cs="Times New Roman"/>
        </w:rPr>
        <w:t xml:space="preserve"> (“</w:t>
      </w:r>
      <w:bookmarkStart w:id="19" w:name="_Hlk117279386"/>
      <w:r w:rsidR="00386E80">
        <w:rPr>
          <w:rFonts w:ascii="Times New Roman" w:hAnsi="Times New Roman" w:cs="Times New Roman"/>
          <w:b/>
          <w:bCs/>
        </w:rPr>
        <w:t>non-245A shareholders</w:t>
      </w:r>
      <w:bookmarkEnd w:id="19"/>
      <w:r w:rsidR="00386E80">
        <w:rPr>
          <w:rFonts w:ascii="Times New Roman" w:hAnsi="Times New Roman" w:cs="Times New Roman"/>
        </w:rPr>
        <w:t>”)</w:t>
      </w:r>
      <w:r w:rsidR="00DF66A0">
        <w:rPr>
          <w:rFonts w:ascii="Times New Roman" w:hAnsi="Times New Roman" w:cs="Times New Roman"/>
        </w:rPr>
        <w:t xml:space="preserve"> </w:t>
      </w:r>
      <w:r w:rsidR="00CF0CE0">
        <w:rPr>
          <w:rFonts w:ascii="Times New Roman" w:hAnsi="Times New Roman" w:cs="Times New Roman"/>
        </w:rPr>
        <w:t>from t</w:t>
      </w:r>
      <w:r w:rsidR="00B6189D">
        <w:rPr>
          <w:rFonts w:ascii="Times New Roman" w:hAnsi="Times New Roman" w:cs="Times New Roman"/>
        </w:rPr>
        <w:t>he requirement to</w:t>
      </w:r>
      <w:r w:rsidR="00CF0CE0">
        <w:rPr>
          <w:rFonts w:ascii="Times New Roman" w:hAnsi="Times New Roman" w:cs="Times New Roman"/>
        </w:rPr>
        <w:t xml:space="preserve"> </w:t>
      </w:r>
      <w:r w:rsidR="00560E33">
        <w:rPr>
          <w:rFonts w:ascii="Times New Roman" w:hAnsi="Times New Roman" w:cs="Times New Roman"/>
        </w:rPr>
        <w:t>include in gross income their all E&amp;P amount</w:t>
      </w:r>
      <w:r w:rsidR="00906831">
        <w:rPr>
          <w:rFonts w:ascii="Times New Roman" w:hAnsi="Times New Roman" w:cs="Times New Roman"/>
        </w:rPr>
        <w:t xml:space="preserve">. This election could be made contingent on either </w:t>
      </w:r>
      <w:r w:rsidR="00695347">
        <w:rPr>
          <w:rFonts w:ascii="Times New Roman" w:hAnsi="Times New Roman" w:cs="Times New Roman"/>
        </w:rPr>
        <w:t xml:space="preserve">of the following two conditions: </w:t>
      </w:r>
      <w:r w:rsidR="003D7BB3">
        <w:rPr>
          <w:rFonts w:ascii="Times New Roman" w:hAnsi="Times New Roman" w:cs="Times New Roman"/>
        </w:rPr>
        <w:t>(1) t</w:t>
      </w:r>
      <w:r w:rsidR="00F4635C">
        <w:rPr>
          <w:rFonts w:ascii="Times New Roman" w:hAnsi="Times New Roman" w:cs="Times New Roman"/>
        </w:rPr>
        <w:t>he tax attributes of the foreign acquired corporation inherited by the domestic acquiring corporation</w:t>
      </w:r>
      <w:r w:rsidR="00680C7C">
        <w:rPr>
          <w:rFonts w:ascii="Times New Roman" w:hAnsi="Times New Roman" w:cs="Times New Roman"/>
        </w:rPr>
        <w:t xml:space="preserve"> </w:t>
      </w:r>
      <w:r w:rsidR="00906831">
        <w:rPr>
          <w:rFonts w:ascii="Times New Roman" w:hAnsi="Times New Roman" w:cs="Times New Roman"/>
        </w:rPr>
        <w:t xml:space="preserve">are reduced </w:t>
      </w:r>
      <w:r w:rsidR="00680C7C">
        <w:rPr>
          <w:rFonts w:ascii="Times New Roman" w:hAnsi="Times New Roman" w:cs="Times New Roman"/>
        </w:rPr>
        <w:t xml:space="preserve">to the extent of </w:t>
      </w:r>
      <w:r w:rsidR="00255FBD">
        <w:rPr>
          <w:rFonts w:ascii="Times New Roman" w:hAnsi="Times New Roman" w:cs="Times New Roman"/>
        </w:rPr>
        <w:t>the</w:t>
      </w:r>
      <w:r w:rsidR="002910B9">
        <w:rPr>
          <w:rFonts w:ascii="Times New Roman" w:hAnsi="Times New Roman" w:cs="Times New Roman"/>
        </w:rPr>
        <w:t xml:space="preserve"> aggregate</w:t>
      </w:r>
      <w:r w:rsidR="00255FBD">
        <w:rPr>
          <w:rFonts w:ascii="Times New Roman" w:hAnsi="Times New Roman" w:cs="Times New Roman"/>
        </w:rPr>
        <w:t xml:space="preserve"> all E&amp;P amount</w:t>
      </w:r>
      <w:r w:rsidR="002910B9">
        <w:rPr>
          <w:rFonts w:ascii="Times New Roman" w:hAnsi="Times New Roman" w:cs="Times New Roman"/>
        </w:rPr>
        <w:t>s</w:t>
      </w:r>
      <w:r w:rsidR="00255FBD">
        <w:rPr>
          <w:rFonts w:ascii="Times New Roman" w:hAnsi="Times New Roman" w:cs="Times New Roman"/>
        </w:rPr>
        <w:t xml:space="preserve"> that such shareholders would otherwise be required to include (the “</w:t>
      </w:r>
      <w:r w:rsidR="002910B9">
        <w:rPr>
          <w:rFonts w:ascii="Times New Roman" w:hAnsi="Times New Roman" w:cs="Times New Roman"/>
          <w:b/>
          <w:bCs/>
        </w:rPr>
        <w:t>aggregate all E&amp;P amoun</w:t>
      </w:r>
      <w:r w:rsidR="008223CB">
        <w:rPr>
          <w:rFonts w:ascii="Times New Roman" w:hAnsi="Times New Roman" w:cs="Times New Roman"/>
          <w:b/>
          <w:bCs/>
        </w:rPr>
        <w:t>t</w:t>
      </w:r>
      <w:r w:rsidR="002910B9">
        <w:rPr>
          <w:rFonts w:ascii="Times New Roman" w:hAnsi="Times New Roman" w:cs="Times New Roman"/>
        </w:rPr>
        <w:t>”)</w:t>
      </w:r>
      <w:r w:rsidR="001F6FF4">
        <w:rPr>
          <w:rFonts w:ascii="Times New Roman" w:hAnsi="Times New Roman" w:cs="Times New Roman"/>
        </w:rPr>
        <w:t xml:space="preserve"> (the “</w:t>
      </w:r>
      <w:r w:rsidR="001F6FF4">
        <w:rPr>
          <w:rFonts w:ascii="Times New Roman" w:hAnsi="Times New Roman" w:cs="Times New Roman"/>
          <w:b/>
          <w:bCs/>
        </w:rPr>
        <w:t>attribute reduction election</w:t>
      </w:r>
      <w:r w:rsidR="001F6FF4">
        <w:rPr>
          <w:rFonts w:ascii="Times New Roman" w:hAnsi="Times New Roman" w:cs="Times New Roman"/>
        </w:rPr>
        <w:t>”)</w:t>
      </w:r>
      <w:r w:rsidR="00F337EE">
        <w:rPr>
          <w:rFonts w:ascii="Times New Roman" w:hAnsi="Times New Roman" w:cs="Times New Roman"/>
        </w:rPr>
        <w:t>,</w:t>
      </w:r>
      <w:r w:rsidR="00680C7C">
        <w:rPr>
          <w:rFonts w:ascii="Times New Roman" w:hAnsi="Times New Roman" w:cs="Times New Roman"/>
        </w:rPr>
        <w:t xml:space="preserve"> </w:t>
      </w:r>
      <w:r w:rsidR="003D7BB3">
        <w:rPr>
          <w:rFonts w:ascii="Times New Roman" w:hAnsi="Times New Roman" w:cs="Times New Roman"/>
        </w:rPr>
        <w:t xml:space="preserve">or (2) the </w:t>
      </w:r>
      <w:r w:rsidR="002910B9" w:rsidRPr="002910B9">
        <w:rPr>
          <w:rFonts w:ascii="Times New Roman" w:hAnsi="Times New Roman" w:cs="Times New Roman"/>
        </w:rPr>
        <w:t>aggregate all E&amp;P amount</w:t>
      </w:r>
      <w:r w:rsidR="003858F5">
        <w:rPr>
          <w:rFonts w:ascii="Times New Roman" w:hAnsi="Times New Roman" w:cs="Times New Roman"/>
        </w:rPr>
        <w:t xml:space="preserve"> is included in the gross income of the </w:t>
      </w:r>
      <w:r w:rsidR="008223CB">
        <w:rPr>
          <w:rFonts w:ascii="Times New Roman" w:hAnsi="Times New Roman" w:cs="Times New Roman"/>
        </w:rPr>
        <w:t>domestic acquiring corporation</w:t>
      </w:r>
      <w:r w:rsidR="001F6FF4">
        <w:rPr>
          <w:rFonts w:ascii="Times New Roman" w:hAnsi="Times New Roman" w:cs="Times New Roman"/>
        </w:rPr>
        <w:t xml:space="preserve"> (the “</w:t>
      </w:r>
      <w:r w:rsidR="001F6FF4">
        <w:rPr>
          <w:rFonts w:ascii="Times New Roman" w:hAnsi="Times New Roman" w:cs="Times New Roman"/>
          <w:b/>
          <w:bCs/>
        </w:rPr>
        <w:t xml:space="preserve">proxy inclusion </w:t>
      </w:r>
      <w:r w:rsidR="008D4EF3">
        <w:rPr>
          <w:rFonts w:ascii="Times New Roman" w:hAnsi="Times New Roman" w:cs="Times New Roman"/>
          <w:b/>
          <w:bCs/>
        </w:rPr>
        <w:t>election</w:t>
      </w:r>
      <w:r w:rsidR="008D4EF3">
        <w:rPr>
          <w:rFonts w:ascii="Times New Roman" w:hAnsi="Times New Roman" w:cs="Times New Roman"/>
        </w:rPr>
        <w:t>”)</w:t>
      </w:r>
      <w:r w:rsidR="00F337EE">
        <w:rPr>
          <w:rFonts w:ascii="Times New Roman" w:hAnsi="Times New Roman" w:cs="Times New Roman"/>
        </w:rPr>
        <w:t>.</w:t>
      </w:r>
      <w:r w:rsidR="007D1AAD">
        <w:rPr>
          <w:rFonts w:ascii="Times New Roman" w:hAnsi="Times New Roman" w:cs="Times New Roman"/>
        </w:rPr>
        <w:t xml:space="preserve"> </w:t>
      </w:r>
      <w:r w:rsidR="006848BA">
        <w:rPr>
          <w:rFonts w:ascii="Times New Roman" w:hAnsi="Times New Roman" w:cs="Times New Roman"/>
        </w:rPr>
        <w:t>If a proxy inclusion election were permitted, fo</w:t>
      </w:r>
      <w:r w:rsidR="00743F50">
        <w:rPr>
          <w:rFonts w:ascii="Times New Roman" w:hAnsi="Times New Roman" w:cs="Times New Roman"/>
        </w:rPr>
        <w:t xml:space="preserve">r purposes of determining </w:t>
      </w:r>
      <w:r w:rsidR="006848BA">
        <w:rPr>
          <w:rFonts w:ascii="Times New Roman" w:hAnsi="Times New Roman" w:cs="Times New Roman"/>
        </w:rPr>
        <w:t xml:space="preserve">whether the domestic acquiring corporation qualifies for the 245A DRD on its aggregate all E&amp;P amount, </w:t>
      </w:r>
      <w:r w:rsidR="008E7888">
        <w:rPr>
          <w:rFonts w:ascii="Times New Roman" w:hAnsi="Times New Roman" w:cs="Times New Roman"/>
        </w:rPr>
        <w:t xml:space="preserve">consistent with suggestions by the 2022 NYSBA </w:t>
      </w:r>
      <w:r w:rsidR="00702E92">
        <w:rPr>
          <w:rFonts w:ascii="Times New Roman" w:hAnsi="Times New Roman" w:cs="Times New Roman"/>
        </w:rPr>
        <w:t>r</w:t>
      </w:r>
      <w:r w:rsidR="008E7888">
        <w:rPr>
          <w:rFonts w:ascii="Times New Roman" w:hAnsi="Times New Roman" w:cs="Times New Roman"/>
        </w:rPr>
        <w:t xml:space="preserve">eport and the </w:t>
      </w:r>
      <w:r w:rsidR="00235F1C">
        <w:rPr>
          <w:rFonts w:ascii="Times New Roman" w:hAnsi="Times New Roman" w:cs="Times New Roman"/>
        </w:rPr>
        <w:t xml:space="preserve">Skadden </w:t>
      </w:r>
      <w:r w:rsidR="00702E92">
        <w:rPr>
          <w:rFonts w:ascii="Times New Roman" w:hAnsi="Times New Roman" w:cs="Times New Roman"/>
        </w:rPr>
        <w:t>l</w:t>
      </w:r>
      <w:r w:rsidR="00235F1C">
        <w:rPr>
          <w:rFonts w:ascii="Times New Roman" w:hAnsi="Times New Roman" w:cs="Times New Roman"/>
        </w:rPr>
        <w:t xml:space="preserve">etter, </w:t>
      </w:r>
      <w:r w:rsidR="007F5737" w:rsidRPr="007F5737">
        <w:rPr>
          <w:rFonts w:ascii="Times New Roman" w:hAnsi="Times New Roman" w:cs="Times New Roman"/>
        </w:rPr>
        <w:t xml:space="preserve">the </w:t>
      </w:r>
      <w:r w:rsidR="007F5737">
        <w:rPr>
          <w:rFonts w:ascii="Times New Roman" w:hAnsi="Times New Roman" w:cs="Times New Roman"/>
        </w:rPr>
        <w:t>domestic acquiring corporation could be deemed to satisfy the 245A holding period requirement through a retention, directly or indirectly, of substantially all of the assets of the foreign acquired corporation for at least one year following the acquisition. However, it should be acknowledged that the effect of this rule would permit the inclusion of the aggregate all E&amp;P amount to qualify for the 245A DRD, except to the extent</w:t>
      </w:r>
      <w:r w:rsidR="007F5737">
        <w:rPr>
          <w:rStyle w:val="FootnoteReference"/>
          <w:rFonts w:ascii="Times New Roman" w:hAnsi="Times New Roman" w:cs="Times New Roman"/>
        </w:rPr>
        <w:t xml:space="preserve"> </w:t>
      </w:r>
      <w:r w:rsidR="007F5737">
        <w:rPr>
          <w:rFonts w:ascii="Times New Roman" w:hAnsi="Times New Roman" w:cs="Times New Roman"/>
        </w:rPr>
        <w:t xml:space="preserve">of </w:t>
      </w:r>
      <w:r w:rsidR="00A0375D">
        <w:rPr>
          <w:rFonts w:ascii="Times New Roman" w:hAnsi="Times New Roman" w:cs="Times New Roman"/>
        </w:rPr>
        <w:t xml:space="preserve">E&amp;P attributable to </w:t>
      </w:r>
      <w:r w:rsidR="00F35FA4">
        <w:rPr>
          <w:rFonts w:ascii="Times New Roman" w:hAnsi="Times New Roman" w:cs="Times New Roman"/>
        </w:rPr>
        <w:t xml:space="preserve">dividends from 80-percent owned domestic </w:t>
      </w:r>
      <w:r w:rsidR="0050153D">
        <w:rPr>
          <w:rFonts w:ascii="Times New Roman" w:hAnsi="Times New Roman" w:cs="Times New Roman"/>
        </w:rPr>
        <w:t>corporations</w:t>
      </w:r>
      <w:r w:rsidR="006E2665">
        <w:rPr>
          <w:rFonts w:ascii="Times New Roman" w:hAnsi="Times New Roman" w:cs="Times New Roman"/>
        </w:rPr>
        <w:t>, including RICs and REITs</w:t>
      </w:r>
      <w:r w:rsidR="006D371E">
        <w:rPr>
          <w:rFonts w:ascii="Times New Roman" w:hAnsi="Times New Roman" w:cs="Times New Roman"/>
        </w:rPr>
        <w:t>; small shareholders and individual US shareholders</w:t>
      </w:r>
      <w:r w:rsidR="004D34E8">
        <w:rPr>
          <w:rFonts w:ascii="Times New Roman" w:hAnsi="Times New Roman" w:cs="Times New Roman"/>
        </w:rPr>
        <w:t xml:space="preserve">, </w:t>
      </w:r>
      <w:r w:rsidR="006D371E">
        <w:rPr>
          <w:rFonts w:ascii="Times New Roman" w:hAnsi="Times New Roman" w:cs="Times New Roman"/>
        </w:rPr>
        <w:t xml:space="preserve">because </w:t>
      </w:r>
      <w:r w:rsidR="003327AC">
        <w:rPr>
          <w:rFonts w:ascii="Times New Roman" w:hAnsi="Times New Roman" w:cs="Times New Roman"/>
        </w:rPr>
        <w:t xml:space="preserve">they are </w:t>
      </w:r>
      <w:r w:rsidR="006D371E">
        <w:rPr>
          <w:rFonts w:ascii="Times New Roman" w:hAnsi="Times New Roman" w:cs="Times New Roman"/>
        </w:rPr>
        <w:t>not 245A shareholders</w:t>
      </w:r>
      <w:r w:rsidR="003327AC">
        <w:rPr>
          <w:rFonts w:ascii="Times New Roman" w:hAnsi="Times New Roman" w:cs="Times New Roman"/>
        </w:rPr>
        <w:t>,</w:t>
      </w:r>
      <w:r w:rsidR="006D371E">
        <w:rPr>
          <w:rFonts w:ascii="Times New Roman" w:hAnsi="Times New Roman" w:cs="Times New Roman"/>
        </w:rPr>
        <w:t xml:space="preserve"> would </w:t>
      </w:r>
      <w:r w:rsidR="00A52169">
        <w:rPr>
          <w:rFonts w:ascii="Times New Roman" w:hAnsi="Times New Roman" w:cs="Times New Roman"/>
        </w:rPr>
        <w:t>lack</w:t>
      </w:r>
      <w:r w:rsidR="006D371E">
        <w:rPr>
          <w:rFonts w:ascii="Times New Roman" w:hAnsi="Times New Roman" w:cs="Times New Roman"/>
        </w:rPr>
        <w:t xml:space="preserve"> an </w:t>
      </w:r>
      <w:r w:rsidR="00775B6C">
        <w:rPr>
          <w:rFonts w:ascii="Times New Roman" w:hAnsi="Times New Roman" w:cs="Times New Roman"/>
        </w:rPr>
        <w:t>EDA or HDA with respect to the foreign acquired corporation</w:t>
      </w:r>
      <w:r w:rsidR="006D371E">
        <w:rPr>
          <w:rFonts w:ascii="Times New Roman" w:hAnsi="Times New Roman" w:cs="Times New Roman"/>
        </w:rPr>
        <w:t xml:space="preserve">, and </w:t>
      </w:r>
      <w:r w:rsidR="00BC1848">
        <w:rPr>
          <w:rFonts w:ascii="Times New Roman" w:hAnsi="Times New Roman" w:cs="Times New Roman"/>
        </w:rPr>
        <w:t>E&amp;P attributable to E</w:t>
      </w:r>
      <w:r w:rsidR="006D371E">
        <w:rPr>
          <w:rFonts w:ascii="Times New Roman" w:hAnsi="Times New Roman" w:cs="Times New Roman"/>
        </w:rPr>
        <w:t xml:space="preserve">CI </w:t>
      </w:r>
      <w:r w:rsidR="00ED4289">
        <w:rPr>
          <w:rFonts w:ascii="Times New Roman" w:hAnsi="Times New Roman" w:cs="Times New Roman"/>
        </w:rPr>
        <w:t xml:space="preserve">are </w:t>
      </w:r>
      <w:r w:rsidR="006D371E">
        <w:rPr>
          <w:rFonts w:ascii="Times New Roman" w:hAnsi="Times New Roman" w:cs="Times New Roman"/>
        </w:rPr>
        <w:t xml:space="preserve">not included in the </w:t>
      </w:r>
      <w:r w:rsidR="00ED4289">
        <w:rPr>
          <w:rFonts w:ascii="Times New Roman" w:hAnsi="Times New Roman" w:cs="Times New Roman"/>
        </w:rPr>
        <w:t>all E&amp;P amount because such E&amp;P is</w:t>
      </w:r>
      <w:r w:rsidR="002C3F48">
        <w:rPr>
          <w:rFonts w:ascii="Times New Roman" w:hAnsi="Times New Roman" w:cs="Times New Roman"/>
        </w:rPr>
        <w:t xml:space="preserve"> specifically</w:t>
      </w:r>
      <w:r w:rsidR="00ED4289">
        <w:rPr>
          <w:rFonts w:ascii="Times New Roman" w:hAnsi="Times New Roman" w:cs="Times New Roman"/>
        </w:rPr>
        <w:t xml:space="preserve"> excluded</w:t>
      </w:r>
      <w:r w:rsidR="002C3F48">
        <w:rPr>
          <w:rFonts w:ascii="Times New Roman" w:hAnsi="Times New Roman" w:cs="Times New Roman"/>
        </w:rPr>
        <w:t>.</w:t>
      </w:r>
      <w:r w:rsidR="002C3F48">
        <w:rPr>
          <w:rStyle w:val="FootnoteReference"/>
          <w:rFonts w:ascii="Times New Roman" w:hAnsi="Times New Roman" w:cs="Times New Roman"/>
        </w:rPr>
        <w:footnoteReference w:id="198"/>
      </w:r>
      <w:r w:rsidR="002C3F48" w:rsidRPr="00D607BB">
        <w:rPr>
          <w:rFonts w:ascii="Times New Roman" w:hAnsi="Times New Roman" w:cs="Times New Roman"/>
        </w:rPr>
        <w:t xml:space="preserve"> </w:t>
      </w:r>
      <w:r w:rsidR="007F6465">
        <w:rPr>
          <w:rFonts w:ascii="Times New Roman" w:hAnsi="Times New Roman" w:cs="Times New Roman"/>
        </w:rPr>
        <w:t xml:space="preserve">Alternatively, the rule could </w:t>
      </w:r>
      <w:r w:rsidR="00FA52E5">
        <w:rPr>
          <w:rFonts w:ascii="Times New Roman" w:hAnsi="Times New Roman" w:cs="Times New Roman"/>
        </w:rPr>
        <w:t>explicitly provide that the</w:t>
      </w:r>
      <w:r w:rsidR="007F6465">
        <w:rPr>
          <w:rFonts w:ascii="Times New Roman" w:hAnsi="Times New Roman" w:cs="Times New Roman"/>
        </w:rPr>
        <w:t xml:space="preserve"> domestic acquiring corporation </w:t>
      </w:r>
      <w:r w:rsidR="00D313E0">
        <w:rPr>
          <w:rFonts w:ascii="Times New Roman" w:hAnsi="Times New Roman" w:cs="Times New Roman"/>
        </w:rPr>
        <w:t>is</w:t>
      </w:r>
      <w:r w:rsidR="007F6465">
        <w:rPr>
          <w:rFonts w:ascii="Times New Roman" w:hAnsi="Times New Roman" w:cs="Times New Roman"/>
        </w:rPr>
        <w:t xml:space="preserve"> denied the 245A DRD</w:t>
      </w:r>
      <w:r w:rsidR="00FA52E5">
        <w:rPr>
          <w:rFonts w:ascii="Times New Roman" w:hAnsi="Times New Roman" w:cs="Times New Roman"/>
        </w:rPr>
        <w:t>, effectively causing this election merely to shift the burden of the tax from the shareholders to</w:t>
      </w:r>
      <w:r w:rsidR="00D867BF">
        <w:rPr>
          <w:rFonts w:ascii="Times New Roman" w:hAnsi="Times New Roman" w:cs="Times New Roman"/>
        </w:rPr>
        <w:t xml:space="preserve"> the domestic acquiring corporation</w:t>
      </w:r>
      <w:r w:rsidR="00D313E0">
        <w:rPr>
          <w:rFonts w:ascii="Times New Roman" w:hAnsi="Times New Roman" w:cs="Times New Roman"/>
        </w:rPr>
        <w:t>. Such an approach</w:t>
      </w:r>
      <w:r w:rsidR="00FA52E5">
        <w:rPr>
          <w:rFonts w:ascii="Times New Roman" w:hAnsi="Times New Roman" w:cs="Times New Roman"/>
        </w:rPr>
        <w:t xml:space="preserve"> may be appropriate, given that the domestic acquiring corporation inherits the </w:t>
      </w:r>
      <w:r w:rsidR="00D313E0">
        <w:rPr>
          <w:rFonts w:ascii="Times New Roman" w:hAnsi="Times New Roman" w:cs="Times New Roman"/>
        </w:rPr>
        <w:t xml:space="preserve">asset basis that reflects the </w:t>
      </w:r>
      <w:r w:rsidR="00D867BF">
        <w:rPr>
          <w:rFonts w:ascii="Times New Roman" w:hAnsi="Times New Roman" w:cs="Times New Roman"/>
        </w:rPr>
        <w:t>E&amp;P</w:t>
      </w:r>
      <w:r w:rsidR="00D313E0">
        <w:rPr>
          <w:rFonts w:ascii="Times New Roman" w:hAnsi="Times New Roman" w:cs="Times New Roman"/>
        </w:rPr>
        <w:t xml:space="preserve"> which gives rise to the tax</w:t>
      </w:r>
      <w:r w:rsidR="00D867BF">
        <w:rPr>
          <w:rFonts w:ascii="Times New Roman" w:hAnsi="Times New Roman" w:cs="Times New Roman"/>
        </w:rPr>
        <w:t>.</w:t>
      </w:r>
      <w:r w:rsidR="00B71743">
        <w:rPr>
          <w:rStyle w:val="FootnoteReference"/>
          <w:rFonts w:ascii="Times New Roman" w:hAnsi="Times New Roman" w:cs="Times New Roman"/>
        </w:rPr>
        <w:footnoteReference w:id="199"/>
      </w:r>
      <w:r w:rsidR="00B753DA">
        <w:rPr>
          <w:rFonts w:ascii="Times New Roman" w:hAnsi="Times New Roman" w:cs="Times New Roman"/>
        </w:rPr>
        <w:t xml:space="preserve"> Obviously, to the extent that the inclusion of the all E&amp;P amount shifts from the shareholders to the domestic acquiring corporation, the shareholders would not be afforded an increase to the basis in their stock in the corporation.</w:t>
      </w:r>
    </w:p>
    <w:p w14:paraId="50B40E70" w14:textId="7900D968" w:rsidR="00AE06CD" w:rsidRDefault="00773DAE" w:rsidP="0096648D">
      <w:pPr>
        <w:widowControl w:val="0"/>
        <w:tabs>
          <w:tab w:val="left" w:pos="8341"/>
        </w:tabs>
        <w:spacing w:after="240" w:line="240" w:lineRule="auto"/>
        <w:rPr>
          <w:rFonts w:ascii="Times New Roman" w:hAnsi="Times New Roman" w:cs="Times New Roman"/>
        </w:rPr>
      </w:pPr>
      <w:r>
        <w:rPr>
          <w:rFonts w:ascii="Times New Roman" w:hAnsi="Times New Roman" w:cs="Times New Roman"/>
        </w:rPr>
        <w:t xml:space="preserve">In </w:t>
      </w:r>
      <w:r w:rsidR="00074058">
        <w:rPr>
          <w:rFonts w:ascii="Times New Roman" w:hAnsi="Times New Roman" w:cs="Times New Roman"/>
        </w:rPr>
        <w:t>the preamble to the final regulations</w:t>
      </w:r>
      <w:r w:rsidR="00586556">
        <w:rPr>
          <w:rFonts w:ascii="Times New Roman" w:hAnsi="Times New Roman" w:cs="Times New Roman"/>
        </w:rPr>
        <w:t>,</w:t>
      </w:r>
      <w:r w:rsidR="00074058">
        <w:rPr>
          <w:rFonts w:ascii="Times New Roman" w:hAnsi="Times New Roman" w:cs="Times New Roman"/>
        </w:rPr>
        <w:t xml:space="preserve"> </w:t>
      </w:r>
      <w:r w:rsidR="003D788C">
        <w:rPr>
          <w:rFonts w:ascii="Times New Roman" w:hAnsi="Times New Roman" w:cs="Times New Roman"/>
        </w:rPr>
        <w:t xml:space="preserve">Treasury and </w:t>
      </w:r>
      <w:r w:rsidR="00F63386">
        <w:rPr>
          <w:rFonts w:ascii="Times New Roman" w:hAnsi="Times New Roman" w:cs="Times New Roman"/>
        </w:rPr>
        <w:t xml:space="preserve">the </w:t>
      </w:r>
      <w:r w:rsidR="003D788C">
        <w:rPr>
          <w:rFonts w:ascii="Times New Roman" w:hAnsi="Times New Roman" w:cs="Times New Roman"/>
        </w:rPr>
        <w:t xml:space="preserve">IRS </w:t>
      </w:r>
      <w:r>
        <w:rPr>
          <w:rFonts w:ascii="Times New Roman" w:hAnsi="Times New Roman" w:cs="Times New Roman"/>
        </w:rPr>
        <w:t xml:space="preserve">rejected the proposal to </w:t>
      </w:r>
      <w:r w:rsidR="008F7C9C">
        <w:rPr>
          <w:rFonts w:ascii="Times New Roman" w:hAnsi="Times New Roman" w:cs="Times New Roman"/>
        </w:rPr>
        <w:t xml:space="preserve">allow domestic acquiring corporations to include an aggregate all E&amp;P amount on behalf of their small shareholders on grounds of </w:t>
      </w:r>
      <w:r w:rsidR="008F7C9C" w:rsidRPr="003266C1">
        <w:rPr>
          <w:rFonts w:ascii="Times New Roman" w:hAnsi="Times New Roman" w:cs="Times New Roman"/>
        </w:rPr>
        <w:t>“substantial administrative difficulties</w:t>
      </w:r>
      <w:r w:rsidR="008F7C9C">
        <w:rPr>
          <w:rFonts w:ascii="Times New Roman" w:hAnsi="Times New Roman" w:cs="Times New Roman"/>
        </w:rPr>
        <w:t>,”</w:t>
      </w:r>
      <w:r w:rsidR="008F7C9C" w:rsidRPr="003266C1">
        <w:rPr>
          <w:rFonts w:ascii="Times New Roman" w:hAnsi="Times New Roman" w:cs="Times New Roman"/>
        </w:rPr>
        <w:t xml:space="preserve"> namely </w:t>
      </w:r>
      <w:r w:rsidR="008F7C9C">
        <w:rPr>
          <w:rFonts w:ascii="Times New Roman" w:hAnsi="Times New Roman" w:cs="Times New Roman"/>
        </w:rPr>
        <w:t>the difficult</w:t>
      </w:r>
      <w:r w:rsidR="00212F65">
        <w:rPr>
          <w:rFonts w:ascii="Times New Roman" w:hAnsi="Times New Roman" w:cs="Times New Roman"/>
        </w:rPr>
        <w:t xml:space="preserve">y </w:t>
      </w:r>
      <w:r w:rsidR="008F7C9C">
        <w:rPr>
          <w:rFonts w:ascii="Times New Roman" w:hAnsi="Times New Roman" w:cs="Times New Roman"/>
        </w:rPr>
        <w:t>in determining e</w:t>
      </w:r>
      <w:r w:rsidR="008F7C9C" w:rsidRPr="003266C1">
        <w:rPr>
          <w:rFonts w:ascii="Times New Roman" w:hAnsi="Times New Roman" w:cs="Times New Roman"/>
        </w:rPr>
        <w:t>ach small shareholder’s holding period</w:t>
      </w:r>
      <w:r w:rsidR="008F7C9C">
        <w:rPr>
          <w:rFonts w:ascii="Times New Roman" w:hAnsi="Times New Roman" w:cs="Times New Roman"/>
        </w:rPr>
        <w:t xml:space="preserve"> in order to calculate the amount of the inclusion.</w:t>
      </w:r>
      <w:r w:rsidR="008F7C9C">
        <w:rPr>
          <w:rStyle w:val="FootnoteReference"/>
          <w:rFonts w:ascii="Times New Roman" w:hAnsi="Times New Roman" w:cs="Times New Roman"/>
        </w:rPr>
        <w:footnoteReference w:id="200"/>
      </w:r>
      <w:r w:rsidR="00212F65">
        <w:rPr>
          <w:rFonts w:ascii="Times New Roman" w:hAnsi="Times New Roman" w:cs="Times New Roman"/>
        </w:rPr>
        <w:t xml:space="preserve"> </w:t>
      </w:r>
      <w:r w:rsidR="00002FBD">
        <w:rPr>
          <w:rFonts w:ascii="Times New Roman" w:hAnsi="Times New Roman" w:cs="Times New Roman"/>
        </w:rPr>
        <w:t xml:space="preserve">The </w:t>
      </w:r>
      <w:r w:rsidR="00D35476">
        <w:rPr>
          <w:rFonts w:ascii="Times New Roman" w:hAnsi="Times New Roman" w:cs="Times New Roman"/>
        </w:rPr>
        <w:t xml:space="preserve">preamble to the final regulations </w:t>
      </w:r>
      <w:r w:rsidR="00CA321D">
        <w:rPr>
          <w:rFonts w:ascii="Times New Roman" w:hAnsi="Times New Roman" w:cs="Times New Roman"/>
        </w:rPr>
        <w:t xml:space="preserve">cites similar </w:t>
      </w:r>
      <w:r w:rsidR="00AE06CD">
        <w:rPr>
          <w:rFonts w:ascii="Times New Roman" w:hAnsi="Times New Roman" w:cs="Times New Roman"/>
        </w:rPr>
        <w:t>informational</w:t>
      </w:r>
      <w:r w:rsidR="00CA321D">
        <w:rPr>
          <w:rFonts w:ascii="Times New Roman" w:hAnsi="Times New Roman" w:cs="Times New Roman"/>
        </w:rPr>
        <w:t xml:space="preserve"> challenges </w:t>
      </w:r>
      <w:r w:rsidR="00D35476">
        <w:rPr>
          <w:rFonts w:ascii="Times New Roman" w:hAnsi="Times New Roman" w:cs="Times New Roman"/>
        </w:rPr>
        <w:t>in the context of explaining why the taxable exchange election of the proposed regulations was not finalized</w:t>
      </w:r>
      <w:r w:rsidR="00CA321D">
        <w:rPr>
          <w:rFonts w:ascii="Times New Roman" w:hAnsi="Times New Roman" w:cs="Times New Roman"/>
        </w:rPr>
        <w:t>, which election would have required attribute reduction</w:t>
      </w:r>
      <w:r w:rsidR="00AE06CD">
        <w:rPr>
          <w:rFonts w:ascii="Times New Roman" w:hAnsi="Times New Roman" w:cs="Times New Roman"/>
        </w:rPr>
        <w:t>.</w:t>
      </w:r>
      <w:r w:rsidR="004E1084">
        <w:rPr>
          <w:rStyle w:val="FootnoteReference"/>
          <w:rFonts w:ascii="Times New Roman" w:hAnsi="Times New Roman" w:cs="Times New Roman"/>
        </w:rPr>
        <w:footnoteReference w:id="201"/>
      </w:r>
      <w:r w:rsidR="004E1084">
        <w:rPr>
          <w:rFonts w:ascii="Times New Roman" w:hAnsi="Times New Roman" w:cs="Times New Roman"/>
        </w:rPr>
        <w:t xml:space="preserve"> </w:t>
      </w:r>
      <w:r w:rsidR="00B753DA">
        <w:rPr>
          <w:rFonts w:ascii="Times New Roman" w:hAnsi="Times New Roman" w:cs="Times New Roman"/>
        </w:rPr>
        <w:t xml:space="preserve">While these </w:t>
      </w:r>
      <w:r w:rsidR="004E1084">
        <w:rPr>
          <w:rFonts w:ascii="Times New Roman" w:hAnsi="Times New Roman" w:cs="Times New Roman"/>
        </w:rPr>
        <w:t xml:space="preserve">administrative challenges </w:t>
      </w:r>
      <w:r w:rsidR="00B753DA">
        <w:rPr>
          <w:rFonts w:ascii="Times New Roman" w:hAnsi="Times New Roman" w:cs="Times New Roman"/>
        </w:rPr>
        <w:t xml:space="preserve">have not been solved in the two decades since the issuance of the final </w:t>
      </w:r>
      <w:r w:rsidR="005A6BA4">
        <w:rPr>
          <w:rFonts w:ascii="Times New Roman" w:hAnsi="Times New Roman" w:cs="Times New Roman"/>
        </w:rPr>
        <w:t>regulations</w:t>
      </w:r>
      <w:r w:rsidR="00B753DA">
        <w:rPr>
          <w:rFonts w:ascii="Times New Roman" w:hAnsi="Times New Roman" w:cs="Times New Roman"/>
        </w:rPr>
        <w:t xml:space="preserve">, they can be addressed </w:t>
      </w:r>
      <w:r w:rsidR="004E1084">
        <w:rPr>
          <w:rFonts w:ascii="Times New Roman" w:hAnsi="Times New Roman" w:cs="Times New Roman"/>
        </w:rPr>
        <w:t xml:space="preserve">through </w:t>
      </w:r>
      <w:r w:rsidR="0002401A">
        <w:rPr>
          <w:rFonts w:ascii="Times New Roman" w:hAnsi="Times New Roman" w:cs="Times New Roman"/>
        </w:rPr>
        <w:t>various assumptions</w:t>
      </w:r>
      <w:r w:rsidR="00B753DA">
        <w:rPr>
          <w:rFonts w:ascii="Times New Roman" w:hAnsi="Times New Roman" w:cs="Times New Roman"/>
        </w:rPr>
        <w:t>. For instance, as outlined in the Skadden letter, it could be assumed</w:t>
      </w:r>
      <w:r w:rsidR="005A6BA4">
        <w:rPr>
          <w:rFonts w:ascii="Times New Roman" w:hAnsi="Times New Roman" w:cs="Times New Roman"/>
        </w:rPr>
        <w:t xml:space="preserve"> that</w:t>
      </w:r>
      <w:r w:rsidR="00E4297B">
        <w:rPr>
          <w:rFonts w:ascii="Times New Roman" w:hAnsi="Times New Roman" w:cs="Times New Roman"/>
        </w:rPr>
        <w:t xml:space="preserve">, except as otherwise established, </w:t>
      </w:r>
      <w:r w:rsidR="009463A7">
        <w:rPr>
          <w:rFonts w:ascii="Times New Roman" w:hAnsi="Times New Roman" w:cs="Times New Roman"/>
        </w:rPr>
        <w:t xml:space="preserve">all </w:t>
      </w:r>
      <w:r w:rsidR="007B188F">
        <w:rPr>
          <w:rFonts w:ascii="Times New Roman" w:hAnsi="Times New Roman" w:cs="Times New Roman"/>
        </w:rPr>
        <w:t xml:space="preserve">non-§245A </w:t>
      </w:r>
      <w:r w:rsidR="009463A7">
        <w:rPr>
          <w:rFonts w:ascii="Times New Roman" w:hAnsi="Times New Roman" w:cs="Times New Roman"/>
        </w:rPr>
        <w:lastRenderedPageBreak/>
        <w:t xml:space="preserve">shareholders </w:t>
      </w:r>
      <w:r w:rsidR="008B6C90">
        <w:rPr>
          <w:rFonts w:ascii="Times New Roman" w:hAnsi="Times New Roman" w:cs="Times New Roman"/>
        </w:rPr>
        <w:t>are U.S. persons and all such persons have owned their stock for five years.</w:t>
      </w:r>
      <w:r w:rsidR="00EB62A7">
        <w:rPr>
          <w:rStyle w:val="FootnoteReference"/>
          <w:rFonts w:ascii="Times New Roman" w:hAnsi="Times New Roman" w:cs="Times New Roman"/>
        </w:rPr>
        <w:footnoteReference w:id="202"/>
      </w:r>
    </w:p>
    <w:p w14:paraId="622F59B6" w14:textId="0296DF78" w:rsidR="00002FBD" w:rsidRDefault="00AE06CD" w:rsidP="0096648D">
      <w:pPr>
        <w:widowControl w:val="0"/>
        <w:tabs>
          <w:tab w:val="left" w:pos="8341"/>
        </w:tabs>
        <w:spacing w:after="240" w:line="240" w:lineRule="auto"/>
        <w:rPr>
          <w:rFonts w:ascii="Times New Roman" w:hAnsi="Times New Roman" w:cs="Times New Roman"/>
        </w:rPr>
      </w:pPr>
      <w:r>
        <w:rPr>
          <w:rFonts w:ascii="Times New Roman" w:hAnsi="Times New Roman" w:cs="Times New Roman"/>
        </w:rPr>
        <w:t xml:space="preserve">In the context of not finalizing the taxable exchange election, Treasury and </w:t>
      </w:r>
      <w:r w:rsidR="00F63386">
        <w:rPr>
          <w:rFonts w:ascii="Times New Roman" w:hAnsi="Times New Roman" w:cs="Times New Roman"/>
        </w:rPr>
        <w:t xml:space="preserve">the </w:t>
      </w:r>
      <w:r>
        <w:rPr>
          <w:rFonts w:ascii="Times New Roman" w:hAnsi="Times New Roman" w:cs="Times New Roman"/>
        </w:rPr>
        <w:t xml:space="preserve">IRS also cited to the inherent unfairness of </w:t>
      </w:r>
      <w:r w:rsidR="001D5170">
        <w:rPr>
          <w:rFonts w:ascii="Times New Roman" w:hAnsi="Times New Roman" w:cs="Times New Roman"/>
        </w:rPr>
        <w:t xml:space="preserve">an election by U.S. shareholders </w:t>
      </w:r>
      <w:r w:rsidR="000D5342">
        <w:rPr>
          <w:rFonts w:ascii="Times New Roman" w:hAnsi="Times New Roman" w:cs="Times New Roman"/>
        </w:rPr>
        <w:t xml:space="preserve">to avoid including their all E&amp;P amount being economically borne, at least indirectly and in part, by the non-electing shareholders. </w:t>
      </w:r>
      <w:r w:rsidR="001F6FF4">
        <w:rPr>
          <w:rFonts w:ascii="Times New Roman" w:hAnsi="Times New Roman" w:cs="Times New Roman"/>
        </w:rPr>
        <w:t xml:space="preserve">This is undoubtedly true in the case of </w:t>
      </w:r>
      <w:r w:rsidR="001A02F4">
        <w:rPr>
          <w:rFonts w:ascii="Times New Roman" w:hAnsi="Times New Roman" w:cs="Times New Roman"/>
        </w:rPr>
        <w:t xml:space="preserve">the attribute reduction election and the proxy inclusion election. </w:t>
      </w:r>
      <w:r w:rsidR="00286115">
        <w:rPr>
          <w:rFonts w:ascii="Times New Roman" w:hAnsi="Times New Roman" w:cs="Times New Roman"/>
        </w:rPr>
        <w:t xml:space="preserve">However, it could be provided that this election can only be made by the domestic acquiring corporation itself, so that </w:t>
      </w:r>
      <w:r w:rsidR="00106720">
        <w:rPr>
          <w:rFonts w:ascii="Times New Roman" w:hAnsi="Times New Roman" w:cs="Times New Roman"/>
        </w:rPr>
        <w:t xml:space="preserve">the corporation can determine whether, on balance, its shareholders benefit from the election. Further, the effect of this rule would be </w:t>
      </w:r>
      <w:r w:rsidR="008373F8">
        <w:rPr>
          <w:rFonts w:ascii="Times New Roman" w:hAnsi="Times New Roman" w:cs="Times New Roman"/>
        </w:rPr>
        <w:t xml:space="preserve">to balance out the treatment of exchanging shareholders that are 245A shareholders, which, assuming </w:t>
      </w:r>
      <w:r w:rsidR="00843ADF">
        <w:rPr>
          <w:rFonts w:ascii="Times New Roman" w:hAnsi="Times New Roman" w:cs="Times New Roman"/>
        </w:rPr>
        <w:t>they satisfy the</w:t>
      </w:r>
      <w:r w:rsidR="008373F8">
        <w:rPr>
          <w:rFonts w:ascii="Times New Roman" w:hAnsi="Times New Roman" w:cs="Times New Roman"/>
        </w:rPr>
        <w:t xml:space="preserve"> 245A holding period requirement</w:t>
      </w:r>
      <w:r w:rsidR="00843ADF">
        <w:rPr>
          <w:rFonts w:ascii="Times New Roman" w:hAnsi="Times New Roman" w:cs="Times New Roman"/>
        </w:rPr>
        <w:t>,</w:t>
      </w:r>
      <w:r w:rsidR="00843ADF">
        <w:rPr>
          <w:rStyle w:val="FootnoteReference"/>
          <w:rFonts w:ascii="Times New Roman" w:hAnsi="Times New Roman" w:cs="Times New Roman"/>
        </w:rPr>
        <w:footnoteReference w:id="203"/>
      </w:r>
      <w:r w:rsidR="008373F8">
        <w:rPr>
          <w:rFonts w:ascii="Times New Roman" w:hAnsi="Times New Roman" w:cs="Times New Roman"/>
        </w:rPr>
        <w:t xml:space="preserve"> would obtain the benefit of a 245A DRD, and those exchanging shareholders that are not 245A shareholders and thus would be fully taxable on the inclusion of their all E&amp;P amount. </w:t>
      </w:r>
    </w:p>
    <w:p w14:paraId="3DC68F85" w14:textId="5F2C6635" w:rsidR="00270178" w:rsidRDefault="00B96FD4" w:rsidP="0096648D">
      <w:pPr>
        <w:pStyle w:val="Heading3"/>
        <w:keepNext w:val="0"/>
        <w:keepLines w:val="0"/>
        <w:widowControl w:val="0"/>
      </w:pPr>
      <w:r w:rsidRPr="00B96FD4">
        <w:t>Expand B3 to inbound stock transfers</w:t>
      </w:r>
    </w:p>
    <w:p w14:paraId="4EE1C60E" w14:textId="6FEB5AA0" w:rsidR="00F00AEE" w:rsidRDefault="00B46248" w:rsidP="0018066D">
      <w:pPr>
        <w:spacing w:after="240" w:line="240" w:lineRule="auto"/>
        <w:rPr>
          <w:rFonts w:ascii="Times New Roman" w:hAnsi="Times New Roman" w:cs="Times New Roman"/>
        </w:rPr>
      </w:pPr>
      <w:r>
        <w:rPr>
          <w:rFonts w:ascii="Times New Roman" w:hAnsi="Times New Roman" w:cs="Times New Roman"/>
        </w:rPr>
        <w:t xml:space="preserve">Finally, we considered an approach that would result in an </w:t>
      </w:r>
      <w:r w:rsidR="00AC5B0E">
        <w:rPr>
          <w:rFonts w:ascii="Times New Roman" w:hAnsi="Times New Roman" w:cs="Times New Roman"/>
          <w:i/>
          <w:iCs/>
        </w:rPr>
        <w:t xml:space="preserve">expansion </w:t>
      </w:r>
      <w:r w:rsidR="00AC5B0E">
        <w:rPr>
          <w:rFonts w:ascii="Times New Roman" w:hAnsi="Times New Roman" w:cs="Times New Roman"/>
        </w:rPr>
        <w:t xml:space="preserve">of B3 and B4 in order to address </w:t>
      </w:r>
      <w:r w:rsidR="00052041">
        <w:rPr>
          <w:rFonts w:ascii="Times New Roman" w:hAnsi="Times New Roman" w:cs="Times New Roman"/>
        </w:rPr>
        <w:t xml:space="preserve">a concern with the </w:t>
      </w:r>
      <w:r w:rsidR="00C02B2D">
        <w:rPr>
          <w:rFonts w:ascii="Times New Roman" w:hAnsi="Times New Roman" w:cs="Times New Roman"/>
        </w:rPr>
        <w:t xml:space="preserve">shifting of E&amp;P </w:t>
      </w:r>
      <w:r w:rsidR="002C7357">
        <w:rPr>
          <w:rFonts w:ascii="Times New Roman" w:hAnsi="Times New Roman" w:cs="Times New Roman"/>
        </w:rPr>
        <w:t>for purposes of Code Sec. 245A</w:t>
      </w:r>
      <w:r w:rsidR="00052041">
        <w:rPr>
          <w:rFonts w:ascii="Times New Roman" w:hAnsi="Times New Roman" w:cs="Times New Roman"/>
        </w:rPr>
        <w:t xml:space="preserve"> by reason of a transfer of </w:t>
      </w:r>
      <w:r w:rsidR="007E5828">
        <w:rPr>
          <w:rFonts w:ascii="Times New Roman" w:hAnsi="Times New Roman" w:cs="Times New Roman"/>
        </w:rPr>
        <w:t>the stock of a foreign acquired corporation</w:t>
      </w:r>
      <w:r w:rsidR="00052041">
        <w:rPr>
          <w:rFonts w:ascii="Times New Roman" w:hAnsi="Times New Roman" w:cs="Times New Roman"/>
        </w:rPr>
        <w:t xml:space="preserve"> to a domestic acquiring corporation in a transaction qualifying for nonrecognition as a reorganization under Code Sec. 368(</w:t>
      </w:r>
      <w:r w:rsidR="00433F9F">
        <w:rPr>
          <w:rFonts w:ascii="Times New Roman" w:hAnsi="Times New Roman" w:cs="Times New Roman"/>
        </w:rPr>
        <w:t>a) (a “</w:t>
      </w:r>
      <w:r w:rsidR="00433F9F" w:rsidRPr="00FC23BE">
        <w:rPr>
          <w:rFonts w:ascii="Times New Roman" w:hAnsi="Times New Roman" w:cs="Times New Roman"/>
          <w:b/>
          <w:bCs/>
        </w:rPr>
        <w:t>B reorganization</w:t>
      </w:r>
      <w:r w:rsidR="00433F9F">
        <w:rPr>
          <w:rFonts w:ascii="Times New Roman" w:hAnsi="Times New Roman" w:cs="Times New Roman"/>
        </w:rPr>
        <w:t xml:space="preserve">”) </w:t>
      </w:r>
      <w:r w:rsidR="00052041">
        <w:rPr>
          <w:rFonts w:ascii="Times New Roman" w:hAnsi="Times New Roman" w:cs="Times New Roman"/>
        </w:rPr>
        <w:t>or as a contribution under Sec. 351(a) (an “</w:t>
      </w:r>
      <w:r w:rsidR="00B00B3D">
        <w:rPr>
          <w:rFonts w:ascii="Times New Roman" w:hAnsi="Times New Roman" w:cs="Times New Roman"/>
          <w:b/>
          <w:bCs/>
        </w:rPr>
        <w:t>inbound stock transfer</w:t>
      </w:r>
      <w:r w:rsidR="00C51D7D">
        <w:rPr>
          <w:rFonts w:ascii="Times New Roman" w:hAnsi="Times New Roman" w:cs="Times New Roman"/>
          <w:b/>
          <w:bCs/>
        </w:rPr>
        <w:t>s</w:t>
      </w:r>
      <w:r w:rsidR="00052041" w:rsidRPr="00670A49">
        <w:rPr>
          <w:rFonts w:ascii="Times New Roman" w:hAnsi="Times New Roman" w:cs="Times New Roman"/>
        </w:rPr>
        <w:t>”)</w:t>
      </w:r>
      <w:r w:rsidR="00052041">
        <w:rPr>
          <w:rFonts w:ascii="Times New Roman" w:hAnsi="Times New Roman" w:cs="Times New Roman"/>
        </w:rPr>
        <w:t xml:space="preserve">. The concern </w:t>
      </w:r>
      <w:r w:rsidR="00696957">
        <w:rPr>
          <w:rFonts w:ascii="Times New Roman" w:hAnsi="Times New Roman" w:cs="Times New Roman"/>
        </w:rPr>
        <w:t>is that</w:t>
      </w:r>
      <w:r w:rsidR="00515620">
        <w:rPr>
          <w:rFonts w:ascii="Times New Roman" w:hAnsi="Times New Roman" w:cs="Times New Roman"/>
        </w:rPr>
        <w:t xml:space="preserve">, </w:t>
      </w:r>
      <w:r w:rsidR="00052041">
        <w:rPr>
          <w:rFonts w:ascii="Times New Roman" w:hAnsi="Times New Roman" w:cs="Times New Roman"/>
        </w:rPr>
        <w:t xml:space="preserve">by reason of an </w:t>
      </w:r>
      <w:r w:rsidR="00B00B3D">
        <w:rPr>
          <w:rFonts w:ascii="Times New Roman" w:hAnsi="Times New Roman" w:cs="Times New Roman"/>
        </w:rPr>
        <w:t>inbound stock transfer</w:t>
      </w:r>
      <w:r w:rsidR="00FF3021">
        <w:rPr>
          <w:rFonts w:ascii="Times New Roman" w:hAnsi="Times New Roman" w:cs="Times New Roman"/>
        </w:rPr>
        <w:t xml:space="preserve">, E&amp;P </w:t>
      </w:r>
      <w:r w:rsidR="007E5828">
        <w:rPr>
          <w:rFonts w:ascii="Times New Roman" w:hAnsi="Times New Roman" w:cs="Times New Roman"/>
        </w:rPr>
        <w:t xml:space="preserve">of the foreign acquired corporation </w:t>
      </w:r>
      <w:r w:rsidR="00FF3021">
        <w:rPr>
          <w:rFonts w:ascii="Times New Roman" w:hAnsi="Times New Roman" w:cs="Times New Roman"/>
        </w:rPr>
        <w:t xml:space="preserve">attributable </w:t>
      </w:r>
      <w:r w:rsidR="00A52F0B">
        <w:rPr>
          <w:rFonts w:ascii="Times New Roman" w:hAnsi="Times New Roman" w:cs="Times New Roman"/>
        </w:rPr>
        <w:t xml:space="preserve">to non-245A shareholders, dividends to </w:t>
      </w:r>
      <w:r w:rsidR="00FF3021">
        <w:rPr>
          <w:rFonts w:ascii="Times New Roman" w:hAnsi="Times New Roman" w:cs="Times New Roman"/>
        </w:rPr>
        <w:t xml:space="preserve">which </w:t>
      </w:r>
      <w:r w:rsidR="005F0FD9">
        <w:rPr>
          <w:rFonts w:ascii="Times New Roman" w:hAnsi="Times New Roman" w:cs="Times New Roman"/>
        </w:rPr>
        <w:t>can</w:t>
      </w:r>
      <w:r w:rsidR="00052041">
        <w:rPr>
          <w:rFonts w:ascii="Times New Roman" w:hAnsi="Times New Roman" w:cs="Times New Roman"/>
        </w:rPr>
        <w:t>not qualify for a 245A DRD, can</w:t>
      </w:r>
      <w:r w:rsidR="005F0FD9">
        <w:rPr>
          <w:rFonts w:ascii="Times New Roman" w:hAnsi="Times New Roman" w:cs="Times New Roman"/>
        </w:rPr>
        <w:t xml:space="preserve"> be shifted to </w:t>
      </w:r>
      <w:r w:rsidR="00052041">
        <w:rPr>
          <w:rFonts w:ascii="Times New Roman" w:hAnsi="Times New Roman" w:cs="Times New Roman"/>
        </w:rPr>
        <w:t>the</w:t>
      </w:r>
      <w:r w:rsidR="005F0FD9">
        <w:rPr>
          <w:rFonts w:ascii="Times New Roman" w:hAnsi="Times New Roman" w:cs="Times New Roman"/>
        </w:rPr>
        <w:t xml:space="preserve"> domestic acquiring corporation, </w:t>
      </w:r>
      <w:r w:rsidR="00A52F0B">
        <w:rPr>
          <w:rFonts w:ascii="Times New Roman" w:hAnsi="Times New Roman" w:cs="Times New Roman"/>
        </w:rPr>
        <w:t xml:space="preserve">dividends to </w:t>
      </w:r>
      <w:r w:rsidR="00052041">
        <w:rPr>
          <w:rFonts w:ascii="Times New Roman" w:hAnsi="Times New Roman" w:cs="Times New Roman"/>
        </w:rPr>
        <w:t>which</w:t>
      </w:r>
      <w:r w:rsidR="00A52F0B">
        <w:rPr>
          <w:rFonts w:ascii="Times New Roman" w:hAnsi="Times New Roman" w:cs="Times New Roman"/>
        </w:rPr>
        <w:t xml:space="preserve">, </w:t>
      </w:r>
      <w:r w:rsidR="00052041">
        <w:rPr>
          <w:rFonts w:ascii="Times New Roman" w:hAnsi="Times New Roman" w:cs="Times New Roman"/>
        </w:rPr>
        <w:t>immediately through dividends or</w:t>
      </w:r>
      <w:r w:rsidR="007E5828">
        <w:rPr>
          <w:rFonts w:ascii="Times New Roman" w:hAnsi="Times New Roman" w:cs="Times New Roman"/>
        </w:rPr>
        <w:t>, after a</w:t>
      </w:r>
      <w:r w:rsidR="00A52F0B">
        <w:rPr>
          <w:rFonts w:ascii="Times New Roman" w:hAnsi="Times New Roman" w:cs="Times New Roman"/>
        </w:rPr>
        <w:t xml:space="preserve"> year, through a liquidation, can qualify for the 245A DRD</w:t>
      </w:r>
      <w:r w:rsidR="007E5828">
        <w:rPr>
          <w:rFonts w:ascii="Times New Roman" w:hAnsi="Times New Roman" w:cs="Times New Roman"/>
        </w:rPr>
        <w:t xml:space="preserve">. </w:t>
      </w:r>
      <w:r w:rsidR="0062131B">
        <w:rPr>
          <w:rFonts w:ascii="Times New Roman" w:hAnsi="Times New Roman" w:cs="Times New Roman"/>
        </w:rPr>
        <w:t xml:space="preserve">This is arguably offensive </w:t>
      </w:r>
      <w:r w:rsidR="001D688B">
        <w:rPr>
          <w:rFonts w:ascii="Times New Roman" w:hAnsi="Times New Roman" w:cs="Times New Roman"/>
        </w:rPr>
        <w:t xml:space="preserve">to </w:t>
      </w:r>
      <w:r w:rsidR="0062131B">
        <w:rPr>
          <w:rFonts w:ascii="Times New Roman" w:hAnsi="Times New Roman" w:cs="Times New Roman"/>
        </w:rPr>
        <w:t>the repatriation principle, because</w:t>
      </w:r>
      <w:r w:rsidR="001D688B">
        <w:rPr>
          <w:rFonts w:ascii="Times New Roman" w:hAnsi="Times New Roman" w:cs="Times New Roman"/>
        </w:rPr>
        <w:t xml:space="preserve"> untaxed</w:t>
      </w:r>
      <w:r w:rsidR="0062131B">
        <w:rPr>
          <w:rFonts w:ascii="Times New Roman" w:hAnsi="Times New Roman" w:cs="Times New Roman"/>
        </w:rPr>
        <w:t xml:space="preserve"> E&amp;P attributable to </w:t>
      </w:r>
      <w:r w:rsidR="00A52F0B">
        <w:rPr>
          <w:rFonts w:ascii="Times New Roman" w:hAnsi="Times New Roman" w:cs="Times New Roman"/>
        </w:rPr>
        <w:t>non-245A shareholders</w:t>
      </w:r>
      <w:r w:rsidR="0062131B">
        <w:rPr>
          <w:rFonts w:ascii="Times New Roman" w:hAnsi="Times New Roman" w:cs="Times New Roman"/>
        </w:rPr>
        <w:t xml:space="preserve"> </w:t>
      </w:r>
      <w:r w:rsidR="001D688B">
        <w:rPr>
          <w:rFonts w:ascii="Times New Roman" w:hAnsi="Times New Roman" w:cs="Times New Roman"/>
        </w:rPr>
        <w:t>(</w:t>
      </w:r>
      <w:r w:rsidR="001D688B">
        <w:rPr>
          <w:rFonts w:ascii="Times New Roman" w:hAnsi="Times New Roman" w:cs="Times New Roman"/>
          <w:i/>
          <w:iCs/>
        </w:rPr>
        <w:t>i.e.</w:t>
      </w:r>
      <w:r w:rsidR="001D688B">
        <w:rPr>
          <w:rFonts w:ascii="Times New Roman" w:hAnsi="Times New Roman" w:cs="Times New Roman"/>
        </w:rPr>
        <w:t>, deferral E&amp;P)</w:t>
      </w:r>
      <w:r w:rsidR="00CA48A6">
        <w:rPr>
          <w:rFonts w:ascii="Times New Roman" w:hAnsi="Times New Roman" w:cs="Times New Roman"/>
        </w:rPr>
        <w:t xml:space="preserve">. </w:t>
      </w:r>
      <w:r w:rsidR="00841CA9">
        <w:rPr>
          <w:rFonts w:ascii="Times New Roman" w:hAnsi="Times New Roman" w:cs="Times New Roman"/>
        </w:rPr>
        <w:t xml:space="preserve">For individual U.S. shareholders, this transaction also </w:t>
      </w:r>
      <w:r w:rsidR="00EE4CCA">
        <w:rPr>
          <w:rFonts w:ascii="Times New Roman" w:hAnsi="Times New Roman" w:cs="Times New Roman"/>
        </w:rPr>
        <w:t>could</w:t>
      </w:r>
      <w:r w:rsidR="00841CA9">
        <w:rPr>
          <w:rFonts w:ascii="Times New Roman" w:hAnsi="Times New Roman" w:cs="Times New Roman"/>
        </w:rPr>
        <w:t xml:space="preserve"> constitute </w:t>
      </w:r>
      <w:r w:rsidR="0089457E">
        <w:rPr>
          <w:rFonts w:ascii="Times New Roman" w:hAnsi="Times New Roman" w:cs="Times New Roman"/>
        </w:rPr>
        <w:t xml:space="preserve">a “material distortion” to their income, because it has effectively converted dividend </w:t>
      </w:r>
      <w:r w:rsidR="00DD3510">
        <w:rPr>
          <w:rFonts w:ascii="Times New Roman" w:hAnsi="Times New Roman" w:cs="Times New Roman"/>
        </w:rPr>
        <w:t>to capital gains.</w:t>
      </w:r>
      <w:r w:rsidR="00DD3510">
        <w:rPr>
          <w:rStyle w:val="FootnoteReference"/>
          <w:rFonts w:ascii="Times New Roman" w:hAnsi="Times New Roman" w:cs="Times New Roman"/>
        </w:rPr>
        <w:footnoteReference w:id="204"/>
      </w:r>
      <w:r w:rsidR="001D688B">
        <w:rPr>
          <w:rFonts w:ascii="Times New Roman" w:hAnsi="Times New Roman" w:cs="Times New Roman"/>
        </w:rPr>
        <w:t xml:space="preserve"> </w:t>
      </w:r>
    </w:p>
    <w:p w14:paraId="3ADE61C9" w14:textId="07BF4541" w:rsidR="00052041" w:rsidRPr="00AA0544" w:rsidRDefault="00E36C66" w:rsidP="0018066D">
      <w:pPr>
        <w:spacing w:after="240" w:line="240" w:lineRule="auto"/>
        <w:rPr>
          <w:rFonts w:ascii="Times New Roman" w:hAnsi="Times New Roman" w:cs="Times New Roman"/>
        </w:rPr>
      </w:pPr>
      <w:r>
        <w:rPr>
          <w:rFonts w:ascii="Times New Roman" w:hAnsi="Times New Roman" w:cs="Times New Roman"/>
        </w:rPr>
        <w:t>Conversely, while not “tax avoidance,” a material distortion can</w:t>
      </w:r>
      <w:r w:rsidR="00F00AEE">
        <w:rPr>
          <w:rFonts w:ascii="Times New Roman" w:hAnsi="Times New Roman" w:cs="Times New Roman"/>
        </w:rPr>
        <w:t xml:space="preserve"> also</w:t>
      </w:r>
      <w:r>
        <w:rPr>
          <w:rFonts w:ascii="Times New Roman" w:hAnsi="Times New Roman" w:cs="Times New Roman"/>
        </w:rPr>
        <w:t xml:space="preserve"> occur if the exchanging shareholder is </w:t>
      </w:r>
      <w:r w:rsidR="00F0040A">
        <w:rPr>
          <w:rFonts w:ascii="Times New Roman" w:hAnsi="Times New Roman" w:cs="Times New Roman"/>
        </w:rPr>
        <w:t>a §245A shareholder</w:t>
      </w:r>
      <w:r w:rsidR="00F00AEE">
        <w:rPr>
          <w:rFonts w:ascii="Times New Roman" w:hAnsi="Times New Roman" w:cs="Times New Roman"/>
        </w:rPr>
        <w:t>. In</w:t>
      </w:r>
      <w:r w:rsidR="00F0040A">
        <w:rPr>
          <w:rFonts w:ascii="Times New Roman" w:hAnsi="Times New Roman" w:cs="Times New Roman"/>
        </w:rPr>
        <w:t xml:space="preserve"> that case, appreciation in the stock of the foreign acquired corporation attributable to untaxed E&amp;P o</w:t>
      </w:r>
      <w:r w:rsidR="00B0493D">
        <w:rPr>
          <w:rFonts w:ascii="Times New Roman" w:hAnsi="Times New Roman" w:cs="Times New Roman"/>
        </w:rPr>
        <w:t>f that corporation would be reflected in the stock of the domestic acquiring corporation received in the inbound stock transfer</w:t>
      </w:r>
      <w:r w:rsidR="00EE5A3F">
        <w:rPr>
          <w:rFonts w:ascii="Times New Roman" w:hAnsi="Times New Roman" w:cs="Times New Roman"/>
        </w:rPr>
        <w:t xml:space="preserve">, but the exchanging shareholder </w:t>
      </w:r>
      <w:r w:rsidR="003B47B7">
        <w:rPr>
          <w:rFonts w:ascii="Times New Roman" w:hAnsi="Times New Roman" w:cs="Times New Roman"/>
        </w:rPr>
        <w:t>could no longer obtain the Code Sec. 245A DRD on</w:t>
      </w:r>
      <w:r w:rsidR="00EA7E2F">
        <w:rPr>
          <w:rFonts w:ascii="Times New Roman" w:hAnsi="Times New Roman" w:cs="Times New Roman"/>
        </w:rPr>
        <w:t xml:space="preserve"> dividends from the domestic acquiring corporation or the sale of the corporation’s stock.</w:t>
      </w:r>
      <w:r w:rsidR="00EA7E2F">
        <w:rPr>
          <w:rStyle w:val="FootnoteReference"/>
          <w:rFonts w:ascii="Times New Roman" w:hAnsi="Times New Roman" w:cs="Times New Roman"/>
        </w:rPr>
        <w:footnoteReference w:id="205"/>
      </w:r>
    </w:p>
    <w:p w14:paraId="334295BF" w14:textId="42CA73CA" w:rsidR="00CD55E9" w:rsidRDefault="00C51D7D" w:rsidP="0018066D">
      <w:pPr>
        <w:spacing w:after="240" w:line="240" w:lineRule="auto"/>
        <w:rPr>
          <w:rFonts w:ascii="Times New Roman" w:hAnsi="Times New Roman" w:cs="Times New Roman"/>
        </w:rPr>
      </w:pPr>
      <w:r>
        <w:rPr>
          <w:rFonts w:ascii="Times New Roman" w:hAnsi="Times New Roman" w:cs="Times New Roman"/>
        </w:rPr>
        <w:t>Even pre-TCJA, transfer</w:t>
      </w:r>
      <w:r w:rsidR="00123721" w:rsidRPr="00123721">
        <w:rPr>
          <w:rFonts w:ascii="Times New Roman" w:hAnsi="Times New Roman" w:cs="Times New Roman"/>
        </w:rPr>
        <w:t>s of foreign stock to domestic corporations</w:t>
      </w:r>
      <w:r>
        <w:rPr>
          <w:rFonts w:ascii="Times New Roman" w:hAnsi="Times New Roman" w:cs="Times New Roman"/>
        </w:rPr>
        <w:t xml:space="preserve"> in </w:t>
      </w:r>
      <w:r w:rsidR="00B00B3D">
        <w:rPr>
          <w:rFonts w:ascii="Times New Roman" w:hAnsi="Times New Roman" w:cs="Times New Roman"/>
        </w:rPr>
        <w:t>inbound stock transfer</w:t>
      </w:r>
      <w:r>
        <w:rPr>
          <w:rFonts w:ascii="Times New Roman" w:hAnsi="Times New Roman" w:cs="Times New Roman"/>
        </w:rPr>
        <w:t>s</w:t>
      </w:r>
      <w:r w:rsidR="00123721" w:rsidRPr="00123721">
        <w:rPr>
          <w:rFonts w:ascii="Times New Roman" w:hAnsi="Times New Roman" w:cs="Times New Roman"/>
        </w:rPr>
        <w:t xml:space="preserve"> </w:t>
      </w:r>
      <w:r w:rsidR="00557DDF">
        <w:rPr>
          <w:rFonts w:ascii="Times New Roman" w:hAnsi="Times New Roman" w:cs="Times New Roman"/>
        </w:rPr>
        <w:t xml:space="preserve">could be distortive </w:t>
      </w:r>
      <w:r>
        <w:rPr>
          <w:rFonts w:ascii="Times New Roman" w:hAnsi="Times New Roman" w:cs="Times New Roman"/>
        </w:rPr>
        <w:t>to the exchanging shareholder’s</w:t>
      </w:r>
      <w:r w:rsidR="00557DDF">
        <w:rPr>
          <w:rFonts w:ascii="Times New Roman" w:hAnsi="Times New Roman" w:cs="Times New Roman"/>
        </w:rPr>
        <w:t xml:space="preserve"> income</w:t>
      </w:r>
      <w:r>
        <w:rPr>
          <w:rFonts w:ascii="Times New Roman" w:hAnsi="Times New Roman" w:cs="Times New Roman"/>
        </w:rPr>
        <w:t>. For this reason</w:t>
      </w:r>
      <w:r w:rsidR="00691A5C">
        <w:rPr>
          <w:rFonts w:ascii="Times New Roman" w:hAnsi="Times New Roman" w:cs="Times New Roman"/>
        </w:rPr>
        <w:t xml:space="preserve">, the temporary regulations </w:t>
      </w:r>
      <w:r w:rsidR="00BD3058">
        <w:rPr>
          <w:rFonts w:ascii="Times New Roman" w:hAnsi="Times New Roman" w:cs="Times New Roman"/>
        </w:rPr>
        <w:t xml:space="preserve">did </w:t>
      </w:r>
      <w:r w:rsidR="00691A5C">
        <w:rPr>
          <w:rFonts w:ascii="Times New Roman" w:hAnsi="Times New Roman" w:cs="Times New Roman"/>
        </w:rPr>
        <w:t>require</w:t>
      </w:r>
      <w:r w:rsidR="00BD3058">
        <w:rPr>
          <w:rFonts w:ascii="Times New Roman" w:hAnsi="Times New Roman" w:cs="Times New Roman"/>
        </w:rPr>
        <w:t xml:space="preserve"> </w:t>
      </w:r>
      <w:r w:rsidR="00691A5C">
        <w:rPr>
          <w:rFonts w:ascii="Times New Roman" w:hAnsi="Times New Roman" w:cs="Times New Roman"/>
        </w:rPr>
        <w:lastRenderedPageBreak/>
        <w:t xml:space="preserve">the inclusion of a 1248 amount in </w:t>
      </w:r>
      <w:r w:rsidR="002B10B4">
        <w:rPr>
          <w:rFonts w:ascii="Times New Roman" w:hAnsi="Times New Roman" w:cs="Times New Roman"/>
        </w:rPr>
        <w:t xml:space="preserve">an </w:t>
      </w:r>
      <w:r w:rsidR="00B00B3D">
        <w:rPr>
          <w:rFonts w:ascii="Times New Roman" w:hAnsi="Times New Roman" w:cs="Times New Roman"/>
        </w:rPr>
        <w:t>inbound stock transfer</w:t>
      </w:r>
      <w:r w:rsidR="00433F9F">
        <w:rPr>
          <w:rFonts w:ascii="Times New Roman" w:hAnsi="Times New Roman" w:cs="Times New Roman"/>
        </w:rPr>
        <w:t xml:space="preserve"> that qualified as a B reorganization.</w:t>
      </w:r>
      <w:r w:rsidR="00FC23BE">
        <w:rPr>
          <w:rStyle w:val="FootnoteReference"/>
          <w:rFonts w:ascii="Times New Roman" w:hAnsi="Times New Roman" w:cs="Times New Roman"/>
        </w:rPr>
        <w:footnoteReference w:id="206"/>
      </w:r>
      <w:r w:rsidR="00FC23BE">
        <w:rPr>
          <w:rFonts w:ascii="Times New Roman" w:hAnsi="Times New Roman" w:cs="Times New Roman"/>
        </w:rPr>
        <w:t xml:space="preserve"> However, this rule was not carried forward into the proposed regulations or the final regulations. </w:t>
      </w:r>
      <w:r w:rsidR="007671DE">
        <w:rPr>
          <w:rFonts w:ascii="Times New Roman" w:hAnsi="Times New Roman" w:cs="Times New Roman"/>
        </w:rPr>
        <w:t xml:space="preserve">In any case, pre-TCJA, the </w:t>
      </w:r>
      <w:r w:rsidR="00E65AAD">
        <w:rPr>
          <w:rFonts w:ascii="Times New Roman" w:hAnsi="Times New Roman" w:cs="Times New Roman"/>
        </w:rPr>
        <w:t xml:space="preserve">transaction did not offend the repatriation principle because </w:t>
      </w:r>
      <w:r w:rsidR="001C5CBC">
        <w:rPr>
          <w:rFonts w:ascii="Times New Roman" w:hAnsi="Times New Roman" w:cs="Times New Roman"/>
        </w:rPr>
        <w:t>t</w:t>
      </w:r>
      <w:r w:rsidR="00123721" w:rsidRPr="00123721">
        <w:rPr>
          <w:rFonts w:ascii="Times New Roman" w:hAnsi="Times New Roman" w:cs="Times New Roman"/>
        </w:rPr>
        <w:t xml:space="preserve">he domestic corporation inherited the </w:t>
      </w:r>
      <w:r w:rsidR="001C5CBC">
        <w:rPr>
          <w:rFonts w:ascii="Times New Roman" w:hAnsi="Times New Roman" w:cs="Times New Roman"/>
        </w:rPr>
        <w:t xml:space="preserve">1248 </w:t>
      </w:r>
      <w:r w:rsidR="00123721" w:rsidRPr="00123721">
        <w:rPr>
          <w:rFonts w:ascii="Times New Roman" w:hAnsi="Times New Roman" w:cs="Times New Roman"/>
        </w:rPr>
        <w:t>E&amp;P under §1.1248-8</w:t>
      </w:r>
      <w:r w:rsidR="00B70856">
        <w:rPr>
          <w:rStyle w:val="FootnoteReference"/>
          <w:rFonts w:ascii="Times New Roman" w:hAnsi="Times New Roman" w:cs="Times New Roman"/>
        </w:rPr>
        <w:footnoteReference w:id="207"/>
      </w:r>
      <w:r w:rsidR="00123721" w:rsidRPr="00123721">
        <w:rPr>
          <w:rFonts w:ascii="Times New Roman" w:hAnsi="Times New Roman" w:cs="Times New Roman"/>
        </w:rPr>
        <w:t xml:space="preserve"> and thus would eventually be taxed on the E&amp;P attributable to the transferred stock as a dividend, either as a result of a distribution, sale, or inbound nonrecognition transaction.</w:t>
      </w:r>
      <w:r w:rsidR="00CD55E9">
        <w:rPr>
          <w:rFonts w:ascii="Times New Roman" w:hAnsi="Times New Roman" w:cs="Times New Roman"/>
        </w:rPr>
        <w:t xml:space="preserve"> Therefore, basis and E&amp;P could not be repatriated into the United States without </w:t>
      </w:r>
      <w:r w:rsidR="00CD55E9">
        <w:rPr>
          <w:rFonts w:ascii="Times New Roman" w:hAnsi="Times New Roman" w:cs="Times New Roman"/>
          <w:i/>
          <w:iCs/>
        </w:rPr>
        <w:t>someone</w:t>
      </w:r>
      <w:r w:rsidR="00CD55E9">
        <w:rPr>
          <w:rFonts w:ascii="Times New Roman" w:hAnsi="Times New Roman" w:cs="Times New Roman"/>
        </w:rPr>
        <w:t xml:space="preserve"> paying tax.</w:t>
      </w:r>
      <w:r w:rsidR="00123721" w:rsidRPr="00123721">
        <w:rPr>
          <w:rFonts w:ascii="Times New Roman" w:hAnsi="Times New Roman" w:cs="Times New Roman"/>
        </w:rPr>
        <w:t xml:space="preserve"> </w:t>
      </w:r>
    </w:p>
    <w:p w14:paraId="6B1107D3" w14:textId="14B56BEC" w:rsidR="00BC0480" w:rsidRPr="009A4840" w:rsidRDefault="00BD3058" w:rsidP="0018066D">
      <w:pPr>
        <w:spacing w:after="240" w:line="240" w:lineRule="auto"/>
        <w:rPr>
          <w:rFonts w:ascii="Times New Roman" w:hAnsi="Times New Roman" w:cs="Times New Roman"/>
        </w:rPr>
      </w:pPr>
      <w:r>
        <w:rPr>
          <w:rFonts w:ascii="Times New Roman" w:hAnsi="Times New Roman" w:cs="Times New Roman"/>
        </w:rPr>
        <w:t xml:space="preserve">An approach to address this concern would have </w:t>
      </w:r>
      <w:r w:rsidR="007F695C">
        <w:rPr>
          <w:rFonts w:ascii="Times New Roman" w:hAnsi="Times New Roman" w:cs="Times New Roman"/>
        </w:rPr>
        <w:t xml:space="preserve">B3 </w:t>
      </w:r>
      <w:r w:rsidR="00C75F66">
        <w:rPr>
          <w:rFonts w:ascii="Times New Roman" w:hAnsi="Times New Roman" w:cs="Times New Roman"/>
        </w:rPr>
        <w:t>applied</w:t>
      </w:r>
      <w:r w:rsidR="007F695C">
        <w:rPr>
          <w:rFonts w:ascii="Times New Roman" w:hAnsi="Times New Roman" w:cs="Times New Roman"/>
        </w:rPr>
        <w:t xml:space="preserve"> to a</w:t>
      </w:r>
      <w:r w:rsidR="00123721" w:rsidRPr="00123721">
        <w:rPr>
          <w:rFonts w:ascii="Times New Roman" w:hAnsi="Times New Roman" w:cs="Times New Roman"/>
        </w:rPr>
        <w:t xml:space="preserve"> direct or indirect transfer of </w:t>
      </w:r>
      <w:r w:rsidR="007C7636">
        <w:rPr>
          <w:rFonts w:ascii="Times New Roman" w:hAnsi="Times New Roman" w:cs="Times New Roman"/>
        </w:rPr>
        <w:t>the stock of a foreign corporation</w:t>
      </w:r>
      <w:r w:rsidR="00123721" w:rsidRPr="00123721">
        <w:rPr>
          <w:rFonts w:ascii="Times New Roman" w:hAnsi="Times New Roman" w:cs="Times New Roman"/>
        </w:rPr>
        <w:t xml:space="preserve"> by a U</w:t>
      </w:r>
      <w:r w:rsidR="007C7636">
        <w:rPr>
          <w:rFonts w:ascii="Times New Roman" w:hAnsi="Times New Roman" w:cs="Times New Roman"/>
        </w:rPr>
        <w:t xml:space="preserve">.S. </w:t>
      </w:r>
      <w:r w:rsidR="00123721" w:rsidRPr="00123721">
        <w:rPr>
          <w:rFonts w:ascii="Times New Roman" w:hAnsi="Times New Roman" w:cs="Times New Roman"/>
        </w:rPr>
        <w:t>shareholder (whether or not a §245A shareholder)</w:t>
      </w:r>
      <w:r w:rsidR="005E28CF">
        <w:rPr>
          <w:rFonts w:ascii="Times New Roman" w:hAnsi="Times New Roman" w:cs="Times New Roman"/>
        </w:rPr>
        <w:t>,</w:t>
      </w:r>
      <w:r w:rsidR="007F695C">
        <w:rPr>
          <w:rFonts w:ascii="Times New Roman" w:hAnsi="Times New Roman" w:cs="Times New Roman"/>
        </w:rPr>
        <w:t xml:space="preserve"> resulting </w:t>
      </w:r>
      <w:r w:rsidR="00123721" w:rsidRPr="00123721">
        <w:rPr>
          <w:rFonts w:ascii="Times New Roman" w:hAnsi="Times New Roman" w:cs="Times New Roman"/>
        </w:rPr>
        <w:t xml:space="preserve">in an inclusion of its </w:t>
      </w:r>
      <w:r w:rsidR="00511CB5">
        <w:rPr>
          <w:rFonts w:ascii="Times New Roman" w:hAnsi="Times New Roman" w:cs="Times New Roman"/>
        </w:rPr>
        <w:t>all E&amp;P amount</w:t>
      </w:r>
      <w:r w:rsidR="00511CB5" w:rsidRPr="00123721">
        <w:rPr>
          <w:rFonts w:ascii="Times New Roman" w:hAnsi="Times New Roman" w:cs="Times New Roman"/>
        </w:rPr>
        <w:t xml:space="preserve"> </w:t>
      </w:r>
      <w:r w:rsidR="00123721" w:rsidRPr="00123721">
        <w:rPr>
          <w:rFonts w:ascii="Times New Roman" w:hAnsi="Times New Roman" w:cs="Times New Roman"/>
        </w:rPr>
        <w:t>with respect to the stock</w:t>
      </w:r>
      <w:r w:rsidR="005E28CF">
        <w:rPr>
          <w:rFonts w:ascii="Times New Roman" w:hAnsi="Times New Roman" w:cs="Times New Roman"/>
        </w:rPr>
        <w:t>,</w:t>
      </w:r>
      <w:r w:rsidR="00123721" w:rsidRPr="00123721">
        <w:rPr>
          <w:rFonts w:ascii="Times New Roman" w:hAnsi="Times New Roman" w:cs="Times New Roman"/>
        </w:rPr>
        <w:t xml:space="preserve"> Thus, a transfer of </w:t>
      </w:r>
      <w:r w:rsidR="007C7636">
        <w:rPr>
          <w:rFonts w:ascii="Times New Roman" w:hAnsi="Times New Roman" w:cs="Times New Roman"/>
        </w:rPr>
        <w:t xml:space="preserve">the stock of </w:t>
      </w:r>
      <w:r w:rsidR="00123721" w:rsidRPr="00123721">
        <w:rPr>
          <w:rFonts w:ascii="Times New Roman" w:hAnsi="Times New Roman" w:cs="Times New Roman"/>
        </w:rPr>
        <w:t>a</w:t>
      </w:r>
      <w:r w:rsidR="007C7636">
        <w:rPr>
          <w:rFonts w:ascii="Times New Roman" w:hAnsi="Times New Roman" w:cs="Times New Roman"/>
        </w:rPr>
        <w:t xml:space="preserve"> foreign holding company</w:t>
      </w:r>
      <w:r w:rsidR="00123721" w:rsidRPr="00123721">
        <w:rPr>
          <w:rFonts w:ascii="Times New Roman" w:hAnsi="Times New Roman" w:cs="Times New Roman"/>
        </w:rPr>
        <w:t xml:space="preserve"> by a US shareholder to a domestic corporation could result in</w:t>
      </w:r>
      <w:r w:rsidR="007A7FA9">
        <w:rPr>
          <w:rFonts w:ascii="Times New Roman" w:hAnsi="Times New Roman" w:cs="Times New Roman"/>
        </w:rPr>
        <w:t xml:space="preserve"> </w:t>
      </w:r>
      <w:r w:rsidR="00610C8A">
        <w:rPr>
          <w:rFonts w:ascii="Times New Roman" w:hAnsi="Times New Roman" w:cs="Times New Roman"/>
        </w:rPr>
        <w:t xml:space="preserve">an </w:t>
      </w:r>
      <w:r w:rsidR="007A7FA9">
        <w:rPr>
          <w:rFonts w:ascii="Times New Roman" w:hAnsi="Times New Roman" w:cs="Times New Roman"/>
        </w:rPr>
        <w:t>a</w:t>
      </w:r>
      <w:r w:rsidR="00610C8A">
        <w:rPr>
          <w:rFonts w:ascii="Times New Roman" w:hAnsi="Times New Roman" w:cs="Times New Roman"/>
        </w:rPr>
        <w:t>ll E&amp;P amount being included</w:t>
      </w:r>
      <w:r w:rsidR="007A7FA9">
        <w:rPr>
          <w:rFonts w:ascii="Times New Roman" w:hAnsi="Times New Roman" w:cs="Times New Roman"/>
        </w:rPr>
        <w:t xml:space="preserve"> in the income of the U.S. shareholder with respect to the foreign holding company and each of its foreign subsidiaries. </w:t>
      </w:r>
    </w:p>
    <w:p w14:paraId="572757FF" w14:textId="2E44D543" w:rsidR="009A4840" w:rsidRDefault="009A4840" w:rsidP="0018066D">
      <w:pPr>
        <w:spacing w:after="240" w:line="240" w:lineRule="auto"/>
        <w:rPr>
          <w:rFonts w:ascii="Times New Roman" w:hAnsi="Times New Roman" w:cs="Times New Roman"/>
        </w:rPr>
      </w:pPr>
      <w:r w:rsidRPr="009A4840">
        <w:rPr>
          <w:rFonts w:ascii="Times New Roman" w:hAnsi="Times New Roman" w:cs="Times New Roman"/>
        </w:rPr>
        <w:t xml:space="preserve">This approach would ensure that undistributed E&amp;P attributable to a 245A shareholder inures to its benefit through an increase in </w:t>
      </w:r>
      <w:r w:rsidR="00BC0480">
        <w:rPr>
          <w:rFonts w:ascii="Times New Roman" w:hAnsi="Times New Roman" w:cs="Times New Roman"/>
        </w:rPr>
        <w:t>the shareholder’s stock basis in the domestic acquiring corporation,</w:t>
      </w:r>
      <w:r w:rsidR="00BC0480">
        <w:rPr>
          <w:rStyle w:val="FootnoteReference"/>
          <w:rFonts w:ascii="Times New Roman" w:hAnsi="Times New Roman" w:cs="Times New Roman"/>
        </w:rPr>
        <w:footnoteReference w:id="208"/>
      </w:r>
      <w:r w:rsidR="00BC0480">
        <w:rPr>
          <w:rFonts w:ascii="Times New Roman" w:hAnsi="Times New Roman" w:cs="Times New Roman"/>
        </w:rPr>
        <w:t xml:space="preserve"> </w:t>
      </w:r>
      <w:r w:rsidRPr="009A4840">
        <w:rPr>
          <w:rFonts w:ascii="Times New Roman" w:hAnsi="Times New Roman" w:cs="Times New Roman"/>
        </w:rPr>
        <w:t xml:space="preserve">while not permitting </w:t>
      </w:r>
      <w:r w:rsidR="00BC0480">
        <w:rPr>
          <w:rFonts w:ascii="Times New Roman" w:hAnsi="Times New Roman" w:cs="Times New Roman"/>
        </w:rPr>
        <w:t xml:space="preserve">deferral </w:t>
      </w:r>
      <w:r w:rsidRPr="009A4840">
        <w:rPr>
          <w:rFonts w:ascii="Times New Roman" w:hAnsi="Times New Roman" w:cs="Times New Roman"/>
        </w:rPr>
        <w:t xml:space="preserve">E&amp;P attributable to </w:t>
      </w:r>
      <w:r w:rsidR="000C080C">
        <w:rPr>
          <w:rFonts w:ascii="Times New Roman" w:hAnsi="Times New Roman" w:cs="Times New Roman"/>
        </w:rPr>
        <w:t>non-245A shareholders</w:t>
      </w:r>
      <w:r w:rsidR="000C080C" w:rsidDel="000C080C">
        <w:rPr>
          <w:rFonts w:ascii="Times New Roman" w:hAnsi="Times New Roman" w:cs="Times New Roman"/>
        </w:rPr>
        <w:t xml:space="preserve"> </w:t>
      </w:r>
      <w:r w:rsidRPr="009A4840">
        <w:rPr>
          <w:rFonts w:ascii="Times New Roman" w:hAnsi="Times New Roman" w:cs="Times New Roman"/>
        </w:rPr>
        <w:t xml:space="preserve">to become </w:t>
      </w:r>
      <w:r w:rsidR="00BC0480">
        <w:rPr>
          <w:rFonts w:ascii="Times New Roman" w:hAnsi="Times New Roman" w:cs="Times New Roman"/>
        </w:rPr>
        <w:t>Code Sec. 245A-</w:t>
      </w:r>
      <w:r w:rsidRPr="009A4840">
        <w:rPr>
          <w:rFonts w:ascii="Times New Roman" w:hAnsi="Times New Roman" w:cs="Times New Roman"/>
        </w:rPr>
        <w:t xml:space="preserve">eligible </w:t>
      </w:r>
      <w:r w:rsidR="00BC0480">
        <w:rPr>
          <w:rFonts w:ascii="Times New Roman" w:hAnsi="Times New Roman" w:cs="Times New Roman"/>
        </w:rPr>
        <w:t xml:space="preserve">E&amp;P by reason of </w:t>
      </w:r>
      <w:r w:rsidRPr="009A4840">
        <w:rPr>
          <w:rFonts w:ascii="Times New Roman" w:hAnsi="Times New Roman" w:cs="Times New Roman"/>
        </w:rPr>
        <w:t>a nonrecognition transaction. This approach also has the benefit of aligning</w:t>
      </w:r>
      <w:r w:rsidR="00BC0480">
        <w:rPr>
          <w:rFonts w:ascii="Times New Roman" w:hAnsi="Times New Roman" w:cs="Times New Roman"/>
        </w:rPr>
        <w:t xml:space="preserve">, to a significant extent, </w:t>
      </w:r>
      <w:r w:rsidRPr="009A4840">
        <w:rPr>
          <w:rFonts w:ascii="Times New Roman" w:hAnsi="Times New Roman" w:cs="Times New Roman"/>
        </w:rPr>
        <w:t>the treatment</w:t>
      </w:r>
      <w:r w:rsidR="00E2495B">
        <w:rPr>
          <w:rFonts w:ascii="Times New Roman" w:hAnsi="Times New Roman" w:cs="Times New Roman"/>
        </w:rPr>
        <w:t xml:space="preserve"> under the 367(b) regulations</w:t>
      </w:r>
      <w:r w:rsidRPr="009A4840">
        <w:rPr>
          <w:rFonts w:ascii="Times New Roman" w:hAnsi="Times New Roman" w:cs="Times New Roman"/>
        </w:rPr>
        <w:t xml:space="preserve"> </w:t>
      </w:r>
      <w:r w:rsidR="00E2495B">
        <w:rPr>
          <w:rFonts w:ascii="Times New Roman" w:hAnsi="Times New Roman" w:cs="Times New Roman"/>
        </w:rPr>
        <w:t>an inbound stock transfer with an inbound</w:t>
      </w:r>
      <w:r w:rsidRPr="009A4840">
        <w:rPr>
          <w:rFonts w:ascii="Times New Roman" w:hAnsi="Times New Roman" w:cs="Times New Roman"/>
        </w:rPr>
        <w:t xml:space="preserve"> asset reorganization. In either case, a U</w:t>
      </w:r>
      <w:r w:rsidR="00313F18">
        <w:rPr>
          <w:rFonts w:ascii="Times New Roman" w:hAnsi="Times New Roman" w:cs="Times New Roman"/>
        </w:rPr>
        <w:t>.</w:t>
      </w:r>
      <w:r w:rsidRPr="009A4840">
        <w:rPr>
          <w:rFonts w:ascii="Times New Roman" w:hAnsi="Times New Roman" w:cs="Times New Roman"/>
        </w:rPr>
        <w:t>S</w:t>
      </w:r>
      <w:r w:rsidR="00313F18">
        <w:rPr>
          <w:rFonts w:ascii="Times New Roman" w:hAnsi="Times New Roman" w:cs="Times New Roman"/>
        </w:rPr>
        <w:t>.</w:t>
      </w:r>
      <w:r w:rsidRPr="009A4840">
        <w:rPr>
          <w:rFonts w:ascii="Times New Roman" w:hAnsi="Times New Roman" w:cs="Times New Roman"/>
        </w:rPr>
        <w:t xml:space="preserve"> shareholder would generally be required to include its </w:t>
      </w:r>
      <w:r w:rsidR="00D54525">
        <w:rPr>
          <w:rFonts w:ascii="Times New Roman" w:hAnsi="Times New Roman" w:cs="Times New Roman"/>
        </w:rPr>
        <w:t xml:space="preserve">all E&amp;P amount </w:t>
      </w:r>
      <w:r w:rsidRPr="009A4840">
        <w:rPr>
          <w:rFonts w:ascii="Times New Roman" w:hAnsi="Times New Roman" w:cs="Times New Roman"/>
        </w:rPr>
        <w:t xml:space="preserve">with respect to a </w:t>
      </w:r>
      <w:r w:rsidR="00C21812">
        <w:rPr>
          <w:rFonts w:ascii="Times New Roman" w:hAnsi="Times New Roman" w:cs="Times New Roman"/>
        </w:rPr>
        <w:t>foreign corporation</w:t>
      </w:r>
      <w:r w:rsidR="00C21812" w:rsidRPr="009A4840">
        <w:rPr>
          <w:rFonts w:ascii="Times New Roman" w:hAnsi="Times New Roman" w:cs="Times New Roman"/>
        </w:rPr>
        <w:t xml:space="preserve"> </w:t>
      </w:r>
      <w:r w:rsidRPr="009A4840">
        <w:rPr>
          <w:rFonts w:ascii="Times New Roman" w:hAnsi="Times New Roman" w:cs="Times New Roman"/>
        </w:rPr>
        <w:t xml:space="preserve">and </w:t>
      </w:r>
      <w:r w:rsidR="00C21812">
        <w:rPr>
          <w:rFonts w:ascii="Times New Roman" w:hAnsi="Times New Roman" w:cs="Times New Roman"/>
        </w:rPr>
        <w:t xml:space="preserve">all </w:t>
      </w:r>
      <w:r w:rsidRPr="009A4840">
        <w:rPr>
          <w:rFonts w:ascii="Times New Roman" w:hAnsi="Times New Roman" w:cs="Times New Roman"/>
        </w:rPr>
        <w:t>its subsidiaries</w:t>
      </w:r>
      <w:r w:rsidR="004A4DC9">
        <w:rPr>
          <w:rFonts w:ascii="Times New Roman" w:hAnsi="Times New Roman" w:cs="Times New Roman"/>
        </w:rPr>
        <w:t>.</w:t>
      </w:r>
    </w:p>
    <w:p w14:paraId="5972F196" w14:textId="4A24C580" w:rsidR="004A4DC9" w:rsidRPr="00053D69" w:rsidRDefault="00CD276C" w:rsidP="0018066D">
      <w:pPr>
        <w:spacing w:after="240" w:line="240" w:lineRule="auto"/>
        <w:rPr>
          <w:rFonts w:ascii="Times New Roman" w:hAnsi="Times New Roman" w:cs="Times New Roman"/>
        </w:rPr>
      </w:pPr>
      <w:r>
        <w:rPr>
          <w:rFonts w:ascii="Times New Roman" w:hAnsi="Times New Roman" w:cs="Times New Roman"/>
        </w:rPr>
        <w:t xml:space="preserve">There are two arguments against this approach (other than </w:t>
      </w:r>
      <w:r w:rsidR="00CA5E70">
        <w:rPr>
          <w:rFonts w:ascii="Times New Roman" w:hAnsi="Times New Roman" w:cs="Times New Roman"/>
        </w:rPr>
        <w:t xml:space="preserve">an objection to </w:t>
      </w:r>
      <w:r w:rsidR="00B306E5">
        <w:rPr>
          <w:rFonts w:ascii="Times New Roman" w:hAnsi="Times New Roman" w:cs="Times New Roman"/>
        </w:rPr>
        <w:t>its</w:t>
      </w:r>
      <w:r w:rsidR="00CA5E70">
        <w:rPr>
          <w:rFonts w:ascii="Times New Roman" w:hAnsi="Times New Roman" w:cs="Times New Roman"/>
        </w:rPr>
        <w:t xml:space="preserve"> general </w:t>
      </w:r>
      <w:r w:rsidR="00F05DD7">
        <w:rPr>
          <w:rFonts w:ascii="Times New Roman" w:hAnsi="Times New Roman" w:cs="Times New Roman"/>
        </w:rPr>
        <w:t>meanness</w:t>
      </w:r>
      <w:r w:rsidR="00497D3B">
        <w:rPr>
          <w:rFonts w:ascii="Times New Roman" w:hAnsi="Times New Roman" w:cs="Times New Roman"/>
        </w:rPr>
        <w:t xml:space="preserve"> to individual US shareholders).</w:t>
      </w:r>
      <w:r w:rsidR="00A5108A">
        <w:rPr>
          <w:rFonts w:ascii="Times New Roman" w:hAnsi="Times New Roman" w:cs="Times New Roman"/>
        </w:rPr>
        <w:t xml:space="preserve"> </w:t>
      </w:r>
      <w:r w:rsidR="00497D3B">
        <w:rPr>
          <w:rFonts w:ascii="Times New Roman" w:hAnsi="Times New Roman" w:cs="Times New Roman"/>
        </w:rPr>
        <w:t xml:space="preserve">First, it is debatable whether </w:t>
      </w:r>
      <w:r w:rsidR="003F78A3">
        <w:rPr>
          <w:rFonts w:ascii="Times New Roman" w:hAnsi="Times New Roman" w:cs="Times New Roman"/>
        </w:rPr>
        <w:t>it is</w:t>
      </w:r>
      <w:r w:rsidR="00AC420A">
        <w:rPr>
          <w:rFonts w:ascii="Times New Roman" w:hAnsi="Times New Roman" w:cs="Times New Roman"/>
        </w:rPr>
        <w:t xml:space="preserve"> appropriate </w:t>
      </w:r>
      <w:r w:rsidR="003F78A3">
        <w:rPr>
          <w:rFonts w:ascii="Times New Roman" w:hAnsi="Times New Roman" w:cs="Times New Roman"/>
        </w:rPr>
        <w:t>for the 367(b) regulations</w:t>
      </w:r>
      <w:r w:rsidR="00AC420A">
        <w:rPr>
          <w:rFonts w:ascii="Times New Roman" w:hAnsi="Times New Roman" w:cs="Times New Roman"/>
        </w:rPr>
        <w:t xml:space="preserve"> to be used to “backstop” Code Sec. 245A.</w:t>
      </w:r>
      <w:r w:rsidR="00A5108A">
        <w:rPr>
          <w:rFonts w:ascii="Times New Roman" w:hAnsi="Times New Roman" w:cs="Times New Roman"/>
        </w:rPr>
        <w:t xml:space="preserve"> </w:t>
      </w:r>
      <w:r w:rsidR="001D1CE6">
        <w:rPr>
          <w:rFonts w:ascii="Times New Roman" w:hAnsi="Times New Roman" w:cs="Times New Roman"/>
        </w:rPr>
        <w:t>Arguably, the 245A holding period requirement</w:t>
      </w:r>
      <w:r w:rsidR="001D1CE6" w:rsidRPr="00053D69">
        <w:rPr>
          <w:rFonts w:ascii="Times New Roman" w:hAnsi="Times New Roman" w:cs="Times New Roman"/>
        </w:rPr>
        <w:t xml:space="preserve"> </w:t>
      </w:r>
      <w:r w:rsidR="00BF4BC4">
        <w:rPr>
          <w:rFonts w:ascii="Times New Roman" w:hAnsi="Times New Roman" w:cs="Times New Roman"/>
        </w:rPr>
        <w:t>is</w:t>
      </w:r>
      <w:r w:rsidR="00053D69">
        <w:rPr>
          <w:rFonts w:ascii="Times New Roman" w:hAnsi="Times New Roman" w:cs="Times New Roman"/>
        </w:rPr>
        <w:t xml:space="preserve"> intended to be the </w:t>
      </w:r>
      <w:r w:rsidR="00BF4BC4">
        <w:rPr>
          <w:rFonts w:ascii="Times New Roman" w:hAnsi="Times New Roman" w:cs="Times New Roman"/>
        </w:rPr>
        <w:t>sole provision</w:t>
      </w:r>
      <w:r w:rsidR="00053D69">
        <w:rPr>
          <w:rFonts w:ascii="Times New Roman" w:hAnsi="Times New Roman" w:cs="Times New Roman"/>
        </w:rPr>
        <w:t xml:space="preserve"> </w:t>
      </w:r>
      <w:r w:rsidR="00BF4BC4">
        <w:rPr>
          <w:rFonts w:ascii="Times New Roman" w:hAnsi="Times New Roman" w:cs="Times New Roman"/>
        </w:rPr>
        <w:t>intended to</w:t>
      </w:r>
      <w:r w:rsidR="00053D69">
        <w:rPr>
          <w:rFonts w:ascii="Times New Roman" w:hAnsi="Times New Roman" w:cs="Times New Roman"/>
        </w:rPr>
        <w:t xml:space="preserve"> limit the 245A DRD</w:t>
      </w:r>
      <w:r w:rsidR="00BF4BC4">
        <w:rPr>
          <w:rFonts w:ascii="Times New Roman" w:hAnsi="Times New Roman" w:cs="Times New Roman"/>
        </w:rPr>
        <w:t xml:space="preserve"> with respect to “acquired E&amp;P.” </w:t>
      </w:r>
      <w:r w:rsidR="00E37E76">
        <w:rPr>
          <w:rFonts w:ascii="Times New Roman" w:hAnsi="Times New Roman" w:cs="Times New Roman"/>
        </w:rPr>
        <w:t xml:space="preserve">This view is supported by the existence of other “dividend-stripping” provisions that apply to Code Sec. 245A – Code Secs. 961(d) and 1059. If the </w:t>
      </w:r>
      <w:r w:rsidR="000241A0">
        <w:rPr>
          <w:rFonts w:ascii="Times New Roman" w:hAnsi="Times New Roman" w:cs="Times New Roman"/>
        </w:rPr>
        <w:t xml:space="preserve">245A holding period requirement was not meant to police dividend-stripping, then arguably </w:t>
      </w:r>
      <w:r w:rsidR="00C47A0C">
        <w:rPr>
          <w:rFonts w:ascii="Times New Roman" w:hAnsi="Times New Roman" w:cs="Times New Roman"/>
        </w:rPr>
        <w:t xml:space="preserve">it was intended to apply, and occupy the field with respect to, transactions like inbound stock transfers. </w:t>
      </w:r>
      <w:r w:rsidR="00B17BB0">
        <w:rPr>
          <w:rFonts w:ascii="Times New Roman" w:hAnsi="Times New Roman" w:cs="Times New Roman"/>
        </w:rPr>
        <w:t xml:space="preserve">If that were the case, then applying B3 to an inbound stock transfer would be inconsistent with </w:t>
      </w:r>
      <w:r w:rsidR="00096045">
        <w:rPr>
          <w:rFonts w:ascii="Times New Roman" w:hAnsi="Times New Roman" w:cs="Times New Roman"/>
        </w:rPr>
        <w:t>be inconsistent with the statutory framework.</w:t>
      </w:r>
    </w:p>
    <w:p w14:paraId="01E52FAA" w14:textId="21B358AA" w:rsidR="00096045" w:rsidRDefault="00096045" w:rsidP="0018066D">
      <w:pPr>
        <w:spacing w:after="240" w:line="240" w:lineRule="auto"/>
        <w:rPr>
          <w:rFonts w:ascii="Times New Roman" w:hAnsi="Times New Roman" w:cs="Times New Roman"/>
        </w:rPr>
      </w:pPr>
      <w:r>
        <w:rPr>
          <w:rFonts w:ascii="Times New Roman" w:hAnsi="Times New Roman" w:cs="Times New Roman"/>
        </w:rPr>
        <w:t xml:space="preserve">Secondly, it is questionable whether Treasury and the IRS would have </w:t>
      </w:r>
      <w:r w:rsidR="001F166E" w:rsidRPr="001F166E">
        <w:rPr>
          <w:rFonts w:ascii="Times New Roman" w:hAnsi="Times New Roman" w:cs="Times New Roman"/>
        </w:rPr>
        <w:t>the authority to</w:t>
      </w:r>
      <w:r>
        <w:rPr>
          <w:rFonts w:ascii="Times New Roman" w:hAnsi="Times New Roman" w:cs="Times New Roman"/>
        </w:rPr>
        <w:t xml:space="preserve"> adopt this approach. Specifically, </w:t>
      </w:r>
      <w:r w:rsidR="00C362A6">
        <w:rPr>
          <w:rFonts w:ascii="Times New Roman" w:hAnsi="Times New Roman" w:cs="Times New Roman"/>
        </w:rPr>
        <w:t>Code Sec. 367(b) provides that “</w:t>
      </w:r>
      <w:r w:rsidR="00C362A6" w:rsidRPr="00C362A6">
        <w:rPr>
          <w:rFonts w:ascii="Times New Roman" w:hAnsi="Times New Roman" w:cs="Times New Roman"/>
        </w:rPr>
        <w:t>a foreign corporation shall be considered to be a corporation except to the extent provided in regulations prescribed by the Secretary which are necessary or appropriate to prevent the avoidance of Federal income taxes</w:t>
      </w:r>
      <w:r w:rsidR="00C362A6">
        <w:rPr>
          <w:rFonts w:ascii="Times New Roman" w:hAnsi="Times New Roman" w:cs="Times New Roman"/>
        </w:rPr>
        <w:t>.”</w:t>
      </w:r>
      <w:r w:rsidR="00C362A6">
        <w:rPr>
          <w:rStyle w:val="FootnoteReference"/>
          <w:rFonts w:ascii="Times New Roman" w:hAnsi="Times New Roman" w:cs="Times New Roman"/>
        </w:rPr>
        <w:footnoteReference w:id="209"/>
      </w:r>
      <w:r w:rsidR="00C362A6">
        <w:rPr>
          <w:rFonts w:ascii="Times New Roman" w:hAnsi="Times New Roman" w:cs="Times New Roman"/>
        </w:rPr>
        <w:t xml:space="preserve"> </w:t>
      </w:r>
      <w:r w:rsidR="00791611">
        <w:rPr>
          <w:rFonts w:ascii="Times New Roman" w:hAnsi="Times New Roman" w:cs="Times New Roman"/>
        </w:rPr>
        <w:t xml:space="preserve">It is clear that </w:t>
      </w:r>
      <w:r w:rsidR="008D646C">
        <w:rPr>
          <w:rFonts w:ascii="Times New Roman" w:hAnsi="Times New Roman" w:cs="Times New Roman"/>
        </w:rPr>
        <w:t xml:space="preserve">Treasury and IRS can draft regulations </w:t>
      </w:r>
      <w:r w:rsidR="007767A4">
        <w:rPr>
          <w:rFonts w:ascii="Times New Roman" w:hAnsi="Times New Roman" w:cs="Times New Roman"/>
        </w:rPr>
        <w:t xml:space="preserve">for transactions involving foreign corporations where corporate status of the foreign corporation is necessary. </w:t>
      </w:r>
      <w:r w:rsidR="003B7702">
        <w:rPr>
          <w:rFonts w:ascii="Times New Roman" w:hAnsi="Times New Roman" w:cs="Times New Roman"/>
        </w:rPr>
        <w:t xml:space="preserve">Therefore, </w:t>
      </w:r>
      <w:r w:rsidR="00602D51">
        <w:rPr>
          <w:rFonts w:ascii="Times New Roman" w:hAnsi="Times New Roman" w:cs="Times New Roman"/>
        </w:rPr>
        <w:t xml:space="preserve">the regulations could apply to an inbound stock </w:t>
      </w:r>
      <w:r w:rsidR="000E4D9F">
        <w:rPr>
          <w:rFonts w:ascii="Times New Roman" w:hAnsi="Times New Roman" w:cs="Times New Roman"/>
        </w:rPr>
        <w:t>transfer</w:t>
      </w:r>
      <w:r w:rsidR="00602D51">
        <w:rPr>
          <w:rFonts w:ascii="Times New Roman" w:hAnsi="Times New Roman" w:cs="Times New Roman"/>
        </w:rPr>
        <w:t xml:space="preserve"> that is a B reorganization, because</w:t>
      </w:r>
      <w:r w:rsidR="000E4D9F">
        <w:rPr>
          <w:rFonts w:ascii="Times New Roman" w:hAnsi="Times New Roman" w:cs="Times New Roman"/>
        </w:rPr>
        <w:t xml:space="preserve"> the status of the foreign corporation as a corporation is necessary to satisfy the requirements for nonrecognition.</w:t>
      </w:r>
      <w:r w:rsidR="000E4D9F">
        <w:rPr>
          <w:rStyle w:val="FootnoteReference"/>
          <w:rFonts w:ascii="Times New Roman" w:hAnsi="Times New Roman" w:cs="Times New Roman"/>
        </w:rPr>
        <w:footnoteReference w:id="210"/>
      </w:r>
      <w:r w:rsidR="00354146">
        <w:rPr>
          <w:rFonts w:ascii="Times New Roman" w:hAnsi="Times New Roman" w:cs="Times New Roman"/>
        </w:rPr>
        <w:t xml:space="preserve"> Indeed, </w:t>
      </w:r>
      <w:r w:rsidR="00BE4994">
        <w:rPr>
          <w:rFonts w:ascii="Times New Roman" w:hAnsi="Times New Roman" w:cs="Times New Roman"/>
        </w:rPr>
        <w:t xml:space="preserve">as discussed above in this Part II.D, </w:t>
      </w:r>
      <w:r w:rsidR="00354146">
        <w:rPr>
          <w:rFonts w:ascii="Times New Roman" w:hAnsi="Times New Roman" w:cs="Times New Roman"/>
        </w:rPr>
        <w:t xml:space="preserve">the temporary regulations </w:t>
      </w:r>
      <w:r w:rsidR="008A59D0">
        <w:rPr>
          <w:rFonts w:ascii="Times New Roman" w:hAnsi="Times New Roman" w:cs="Times New Roman"/>
        </w:rPr>
        <w:t xml:space="preserve">did </w:t>
      </w:r>
      <w:r w:rsidR="00BE4994">
        <w:rPr>
          <w:rFonts w:ascii="Times New Roman" w:hAnsi="Times New Roman" w:cs="Times New Roman"/>
        </w:rPr>
        <w:t xml:space="preserve">require an inclusion in the case of an </w:t>
      </w:r>
      <w:r w:rsidR="008A59D0">
        <w:rPr>
          <w:rFonts w:ascii="Times New Roman" w:hAnsi="Times New Roman" w:cs="Times New Roman"/>
        </w:rPr>
        <w:t xml:space="preserve">inbound stock </w:t>
      </w:r>
      <w:r w:rsidR="00BE4994">
        <w:rPr>
          <w:rFonts w:ascii="Times New Roman" w:hAnsi="Times New Roman" w:cs="Times New Roman"/>
        </w:rPr>
        <w:t xml:space="preserve">transfer that qualified as a B reorganization, albeit </w:t>
      </w:r>
      <w:r w:rsidR="00BE4994">
        <w:rPr>
          <w:rFonts w:ascii="Times New Roman" w:hAnsi="Times New Roman" w:cs="Times New Roman"/>
        </w:rPr>
        <w:lastRenderedPageBreak/>
        <w:t xml:space="preserve">an inclusion of a 1248 amount. </w:t>
      </w:r>
      <w:r w:rsidR="006A359D">
        <w:rPr>
          <w:rFonts w:ascii="Times New Roman" w:hAnsi="Times New Roman" w:cs="Times New Roman"/>
        </w:rPr>
        <w:t xml:space="preserve">But, if </w:t>
      </w:r>
      <w:r w:rsidR="006B0B47">
        <w:rPr>
          <w:rFonts w:ascii="Times New Roman" w:hAnsi="Times New Roman" w:cs="Times New Roman"/>
        </w:rPr>
        <w:t>an inbound stock transfer</w:t>
      </w:r>
      <w:r w:rsidR="006A359D">
        <w:rPr>
          <w:rFonts w:ascii="Times New Roman" w:hAnsi="Times New Roman" w:cs="Times New Roman"/>
        </w:rPr>
        <w:t xml:space="preserve"> also, or exclusively, qualified as an exchange under Code Sec. 351, </w:t>
      </w:r>
      <w:r w:rsidR="00652CE0">
        <w:rPr>
          <w:rFonts w:ascii="Times New Roman" w:hAnsi="Times New Roman" w:cs="Times New Roman"/>
        </w:rPr>
        <w:t xml:space="preserve">then nonrecognition </w:t>
      </w:r>
      <w:r w:rsidR="006B0B47">
        <w:rPr>
          <w:rFonts w:ascii="Times New Roman" w:hAnsi="Times New Roman" w:cs="Times New Roman"/>
        </w:rPr>
        <w:t xml:space="preserve">would not depend on whether or not the foreign acquired corporation is a corporation. </w:t>
      </w:r>
      <w:r w:rsidR="003570E0">
        <w:rPr>
          <w:rFonts w:ascii="Times New Roman" w:hAnsi="Times New Roman" w:cs="Times New Roman"/>
        </w:rPr>
        <w:t xml:space="preserve">Therefore, this approach might require </w:t>
      </w:r>
      <w:r w:rsidR="009F7D18">
        <w:rPr>
          <w:rFonts w:ascii="Times New Roman" w:hAnsi="Times New Roman" w:cs="Times New Roman"/>
        </w:rPr>
        <w:t>an amendment to</w:t>
      </w:r>
      <w:r w:rsidR="003570E0">
        <w:rPr>
          <w:rFonts w:ascii="Times New Roman" w:hAnsi="Times New Roman" w:cs="Times New Roman"/>
        </w:rPr>
        <w:t xml:space="preserve"> the </w:t>
      </w:r>
      <w:r w:rsidR="009F7D18">
        <w:rPr>
          <w:rFonts w:ascii="Times New Roman" w:hAnsi="Times New Roman" w:cs="Times New Roman"/>
        </w:rPr>
        <w:t>statute to implement.</w:t>
      </w:r>
    </w:p>
    <w:p w14:paraId="517BDF76" w14:textId="7EE26542" w:rsidR="002F2C3E" w:rsidRPr="00B40450" w:rsidRDefault="002F2C3E" w:rsidP="0096648D">
      <w:pPr>
        <w:pStyle w:val="Heading3"/>
      </w:pPr>
      <w:r>
        <w:t xml:space="preserve">Apply </w:t>
      </w:r>
      <w:r w:rsidR="008C34E1">
        <w:t xml:space="preserve">B3 and B4 </w:t>
      </w:r>
      <w:r>
        <w:t xml:space="preserve">solely to </w:t>
      </w:r>
      <w:r w:rsidR="0024290C">
        <w:t>non-245A</w:t>
      </w:r>
      <w:r>
        <w:t xml:space="preserve"> E&amp;P</w:t>
      </w:r>
    </w:p>
    <w:p w14:paraId="36099CC0" w14:textId="77777777" w:rsidR="003C039F" w:rsidRDefault="00C059B9" w:rsidP="0018066D">
      <w:pPr>
        <w:spacing w:after="240" w:line="240" w:lineRule="auto"/>
        <w:rPr>
          <w:rFonts w:ascii="Times New Roman" w:hAnsi="Times New Roman" w:cs="Times New Roman"/>
        </w:rPr>
      </w:pPr>
      <w:r>
        <w:rPr>
          <w:rFonts w:ascii="Times New Roman" w:hAnsi="Times New Roman" w:cs="Times New Roman"/>
        </w:rPr>
        <w:t>Finally, if Treasury and the IRS determine t</w:t>
      </w:r>
      <w:r w:rsidR="00897077">
        <w:rPr>
          <w:rFonts w:ascii="Times New Roman" w:hAnsi="Times New Roman" w:cs="Times New Roman"/>
        </w:rPr>
        <w:t xml:space="preserve">hat E&amp;P “shifting” </w:t>
      </w:r>
      <w:r w:rsidR="00BF4B4A">
        <w:rPr>
          <w:rFonts w:ascii="Times New Roman" w:hAnsi="Times New Roman" w:cs="Times New Roman"/>
        </w:rPr>
        <w:t xml:space="preserve">from non-245A shareholders to 245A shareholders is not inappropriate, </w:t>
      </w:r>
      <w:r w:rsidR="00A01DC2">
        <w:rPr>
          <w:rFonts w:ascii="Times New Roman" w:hAnsi="Times New Roman" w:cs="Times New Roman"/>
        </w:rPr>
        <w:t xml:space="preserve">they should consider modifying B3 and B4 to apply solely with respect to </w:t>
      </w:r>
      <w:r w:rsidR="00B44062">
        <w:rPr>
          <w:rFonts w:ascii="Times New Roman" w:hAnsi="Times New Roman" w:cs="Times New Roman"/>
        </w:rPr>
        <w:t xml:space="preserve">dividends out of </w:t>
      </w:r>
      <w:r w:rsidR="00A01DC2">
        <w:rPr>
          <w:rFonts w:ascii="Times New Roman" w:hAnsi="Times New Roman" w:cs="Times New Roman"/>
        </w:rPr>
        <w:t>E&amp;P that</w:t>
      </w:r>
      <w:r w:rsidR="006B4D18">
        <w:rPr>
          <w:rFonts w:ascii="Times New Roman" w:hAnsi="Times New Roman" w:cs="Times New Roman"/>
        </w:rPr>
        <w:t>, for reasons other than the 245A holding period requirement, can</w:t>
      </w:r>
      <w:r w:rsidR="00A57097">
        <w:rPr>
          <w:rFonts w:ascii="Times New Roman" w:hAnsi="Times New Roman" w:cs="Times New Roman"/>
        </w:rPr>
        <w:t xml:space="preserve">not </w:t>
      </w:r>
      <w:r w:rsidR="00EC74B1">
        <w:rPr>
          <w:rFonts w:ascii="Times New Roman" w:hAnsi="Times New Roman" w:cs="Times New Roman"/>
        </w:rPr>
        <w:t>satisfy the requirements for a 245A DRD (such E&amp;P, “</w:t>
      </w:r>
      <w:r w:rsidR="00EC74B1">
        <w:rPr>
          <w:rFonts w:ascii="Times New Roman" w:hAnsi="Times New Roman" w:cs="Times New Roman"/>
          <w:b/>
          <w:bCs/>
        </w:rPr>
        <w:t>non-245A E&amp;P</w:t>
      </w:r>
      <w:r w:rsidR="00EC74B1">
        <w:rPr>
          <w:rFonts w:ascii="Times New Roman" w:hAnsi="Times New Roman" w:cs="Times New Roman"/>
        </w:rPr>
        <w:t xml:space="preserve">”). Non-245A E&amp;P </w:t>
      </w:r>
      <w:r w:rsidR="00996C6C">
        <w:rPr>
          <w:rFonts w:ascii="Times New Roman" w:hAnsi="Times New Roman" w:cs="Times New Roman"/>
        </w:rPr>
        <w:t xml:space="preserve">would include E&amp;P </w:t>
      </w:r>
      <w:r w:rsidR="00905864">
        <w:rPr>
          <w:rFonts w:ascii="Times New Roman" w:hAnsi="Times New Roman" w:cs="Times New Roman"/>
        </w:rPr>
        <w:t xml:space="preserve">to the extent of an HDA or an EDA, or E&amp;P </w:t>
      </w:r>
      <w:r w:rsidR="005A6F26">
        <w:rPr>
          <w:rFonts w:ascii="Times New Roman" w:hAnsi="Times New Roman" w:cs="Times New Roman"/>
        </w:rPr>
        <w:t xml:space="preserve">attributable </w:t>
      </w:r>
      <w:r w:rsidR="00A31232">
        <w:rPr>
          <w:rFonts w:ascii="Times New Roman" w:hAnsi="Times New Roman" w:cs="Times New Roman"/>
        </w:rPr>
        <w:t>to 80 percent-owned domestic corporations</w:t>
      </w:r>
      <w:r w:rsidR="00866F39">
        <w:rPr>
          <w:rFonts w:ascii="Times New Roman" w:hAnsi="Times New Roman" w:cs="Times New Roman"/>
        </w:rPr>
        <w:t>, including RICs and REITs</w:t>
      </w:r>
      <w:r w:rsidR="00E62F48">
        <w:rPr>
          <w:rFonts w:ascii="Times New Roman" w:hAnsi="Times New Roman" w:cs="Times New Roman"/>
        </w:rPr>
        <w:t xml:space="preserve">. </w:t>
      </w:r>
    </w:p>
    <w:p w14:paraId="7F9A4DB9" w14:textId="3719733D" w:rsidR="00BD4029" w:rsidRDefault="00974058" w:rsidP="0018066D">
      <w:pPr>
        <w:spacing w:after="240" w:line="240" w:lineRule="auto"/>
        <w:rPr>
          <w:rFonts w:ascii="Times New Roman" w:hAnsi="Times New Roman" w:cs="Times New Roman"/>
        </w:rPr>
      </w:pPr>
      <w:r>
        <w:rPr>
          <w:rFonts w:ascii="Times New Roman" w:hAnsi="Times New Roman" w:cs="Times New Roman"/>
        </w:rPr>
        <w:t>Applying</w:t>
      </w:r>
      <w:r w:rsidR="00306966">
        <w:rPr>
          <w:rFonts w:ascii="Times New Roman" w:hAnsi="Times New Roman" w:cs="Times New Roman"/>
        </w:rPr>
        <w:t xml:space="preserve"> B3 </w:t>
      </w:r>
      <w:r w:rsidR="003C039F">
        <w:rPr>
          <w:rFonts w:ascii="Times New Roman" w:hAnsi="Times New Roman" w:cs="Times New Roman"/>
        </w:rPr>
        <w:t xml:space="preserve">solely to non-245A E&amp;P </w:t>
      </w:r>
      <w:r w:rsidR="00307FE6">
        <w:rPr>
          <w:rFonts w:ascii="Times New Roman" w:hAnsi="Times New Roman" w:cs="Times New Roman"/>
        </w:rPr>
        <w:t xml:space="preserve">can be justified on the grounds that, if </w:t>
      </w:r>
      <w:r w:rsidR="009F6054">
        <w:rPr>
          <w:rFonts w:ascii="Times New Roman" w:hAnsi="Times New Roman" w:cs="Times New Roman"/>
        </w:rPr>
        <w:t>a</w:t>
      </w:r>
      <w:r w:rsidR="007B015C">
        <w:rPr>
          <w:rFonts w:ascii="Times New Roman" w:hAnsi="Times New Roman" w:cs="Times New Roman"/>
        </w:rPr>
        <w:t xml:space="preserve">n all E&amp;P inclusion can be avoided through a two-step inbound stock transfer followed by </w:t>
      </w:r>
      <w:r w:rsidR="00CE0881">
        <w:rPr>
          <w:rFonts w:ascii="Times New Roman" w:hAnsi="Times New Roman" w:cs="Times New Roman"/>
        </w:rPr>
        <w:t>a</w:t>
      </w:r>
      <w:r w:rsidR="00AA7495">
        <w:rPr>
          <w:rFonts w:ascii="Times New Roman" w:hAnsi="Times New Roman" w:cs="Times New Roman"/>
        </w:rPr>
        <w:t>n inbound</w:t>
      </w:r>
      <w:r w:rsidR="007B015C">
        <w:rPr>
          <w:rFonts w:ascii="Times New Roman" w:hAnsi="Times New Roman" w:cs="Times New Roman"/>
        </w:rPr>
        <w:t xml:space="preserve"> nonrecognition transaction</w:t>
      </w:r>
      <w:r w:rsidR="002D3E40">
        <w:rPr>
          <w:rFonts w:ascii="Times New Roman" w:hAnsi="Times New Roman" w:cs="Times New Roman"/>
        </w:rPr>
        <w:t xml:space="preserve"> after one year</w:t>
      </w:r>
      <w:r w:rsidR="00AA7495">
        <w:rPr>
          <w:rFonts w:ascii="Times New Roman" w:hAnsi="Times New Roman" w:cs="Times New Roman"/>
        </w:rPr>
        <w:t xml:space="preserve"> (or even non-liquidating distributions immediately)</w:t>
      </w:r>
      <w:r w:rsidR="002D3E40">
        <w:rPr>
          <w:rFonts w:ascii="Times New Roman" w:hAnsi="Times New Roman" w:cs="Times New Roman"/>
        </w:rPr>
        <w:t xml:space="preserve">, a single step </w:t>
      </w:r>
      <w:r w:rsidR="004B3AB8">
        <w:rPr>
          <w:rFonts w:ascii="Times New Roman" w:hAnsi="Times New Roman" w:cs="Times New Roman"/>
        </w:rPr>
        <w:t xml:space="preserve">inbound asset reorganization should also not result in an inclusion of an all E&amp;P amount by the shareholders of the foreign acquired corporation. </w:t>
      </w:r>
      <w:r w:rsidR="00333CD2">
        <w:rPr>
          <w:rFonts w:ascii="Times New Roman" w:hAnsi="Times New Roman" w:cs="Times New Roman"/>
        </w:rPr>
        <w:t xml:space="preserve">Therefore, under this approach, </w:t>
      </w:r>
      <w:r w:rsidR="00C51132">
        <w:rPr>
          <w:rFonts w:ascii="Times New Roman" w:hAnsi="Times New Roman" w:cs="Times New Roman"/>
        </w:rPr>
        <w:t xml:space="preserve">to the extent of non-245A E&amp;P, there would be no deemed dividend of an all E&amp;P amount, </w:t>
      </w:r>
      <w:r w:rsidR="009C19F9">
        <w:rPr>
          <w:rFonts w:ascii="Times New Roman" w:hAnsi="Times New Roman" w:cs="Times New Roman"/>
        </w:rPr>
        <w:t>but also no commensurate increase to the basis of the stock of the exchanging shareholders. For non-245A shareholders, this would be a good result</w:t>
      </w:r>
      <w:r w:rsidR="005E35CC">
        <w:rPr>
          <w:rFonts w:ascii="Times New Roman" w:hAnsi="Times New Roman" w:cs="Times New Roman"/>
        </w:rPr>
        <w:t xml:space="preserve"> – deferral, no income.</w:t>
      </w:r>
      <w:r w:rsidR="009C19F9">
        <w:rPr>
          <w:rFonts w:ascii="Times New Roman" w:hAnsi="Times New Roman" w:cs="Times New Roman"/>
        </w:rPr>
        <w:t xml:space="preserve"> Fo</w:t>
      </w:r>
      <w:r w:rsidR="005E35CC">
        <w:rPr>
          <w:rFonts w:ascii="Times New Roman" w:hAnsi="Times New Roman" w:cs="Times New Roman"/>
        </w:rPr>
        <w:t xml:space="preserve">r exchanging shareholders that are </w:t>
      </w:r>
      <w:r w:rsidR="009C19F9">
        <w:rPr>
          <w:rFonts w:ascii="Times New Roman" w:hAnsi="Times New Roman" w:cs="Times New Roman"/>
        </w:rPr>
        <w:t>245 shareholders</w:t>
      </w:r>
      <w:r w:rsidR="005E35CC">
        <w:rPr>
          <w:rFonts w:ascii="Times New Roman" w:hAnsi="Times New Roman" w:cs="Times New Roman"/>
        </w:rPr>
        <w:t>, it would not be a good result</w:t>
      </w:r>
      <w:r w:rsidR="007D2885">
        <w:rPr>
          <w:rFonts w:ascii="Times New Roman" w:hAnsi="Times New Roman" w:cs="Times New Roman"/>
        </w:rPr>
        <w:t>; whereas under current B3, they would receive a deemed dividend of an all E&amp;P amount, and a basis increase</w:t>
      </w:r>
      <w:r w:rsidR="00D03403">
        <w:rPr>
          <w:rFonts w:ascii="Times New Roman" w:hAnsi="Times New Roman" w:cs="Times New Roman"/>
        </w:rPr>
        <w:t xml:space="preserve">, under this proposal they would retain their historic basis in the stock of the domestic acquiring corporation. </w:t>
      </w:r>
      <w:r w:rsidR="005E35CC">
        <w:rPr>
          <w:rFonts w:ascii="Times New Roman" w:hAnsi="Times New Roman" w:cs="Times New Roman"/>
        </w:rPr>
        <w:t xml:space="preserve"> </w:t>
      </w:r>
      <w:r w:rsidR="00D03403">
        <w:rPr>
          <w:rFonts w:ascii="Times New Roman" w:hAnsi="Times New Roman" w:cs="Times New Roman"/>
        </w:rPr>
        <w:t xml:space="preserve">The current rule that the domestic acquiring corporation does not </w:t>
      </w:r>
      <w:r w:rsidR="008D7A55">
        <w:rPr>
          <w:rFonts w:ascii="Times New Roman" w:hAnsi="Times New Roman" w:cs="Times New Roman"/>
        </w:rPr>
        <w:t>inherit E&amp;P and NOLs, except to the extent attributable to ECI, would be maintained.</w:t>
      </w:r>
    </w:p>
    <w:p w14:paraId="10A78BD5" w14:textId="1856C698" w:rsidR="001F5209" w:rsidRDefault="001F5209" w:rsidP="003A488A">
      <w:pPr>
        <w:spacing w:after="240" w:line="240" w:lineRule="auto"/>
        <w:rPr>
          <w:rFonts w:ascii="Times New Roman" w:hAnsi="Times New Roman" w:cs="Times New Roman"/>
        </w:rPr>
      </w:pPr>
      <w:r>
        <w:rPr>
          <w:rFonts w:ascii="Times New Roman" w:hAnsi="Times New Roman" w:cs="Times New Roman"/>
        </w:rPr>
        <w:t xml:space="preserve">Applying B4 solely to non-245 E&amp;P </w:t>
      </w:r>
      <w:r w:rsidR="00EF1BA6">
        <w:rPr>
          <w:rFonts w:ascii="Times New Roman" w:hAnsi="Times New Roman" w:cs="Times New Roman"/>
        </w:rPr>
        <w:t>is supported by the</w:t>
      </w:r>
      <w:r w:rsidR="009913E1">
        <w:rPr>
          <w:rFonts w:ascii="Times New Roman" w:hAnsi="Times New Roman" w:cs="Times New Roman"/>
        </w:rPr>
        <w:t xml:space="preserve"> idea, as discussed above in Part IV.A, that </w:t>
      </w:r>
      <w:r w:rsidR="00E006B2">
        <w:rPr>
          <w:rFonts w:ascii="Times New Roman" w:hAnsi="Times New Roman" w:cs="Times New Roman"/>
        </w:rPr>
        <w:t xml:space="preserve">B4 under current law is arguably more distortive </w:t>
      </w:r>
      <w:r w:rsidR="000673A1">
        <w:rPr>
          <w:rFonts w:ascii="Times New Roman" w:hAnsi="Times New Roman" w:cs="Times New Roman"/>
        </w:rPr>
        <w:t xml:space="preserve">in practice </w:t>
      </w:r>
      <w:r w:rsidR="00EA682D">
        <w:rPr>
          <w:rFonts w:ascii="Times New Roman" w:hAnsi="Times New Roman" w:cs="Times New Roman"/>
        </w:rPr>
        <w:t>than the distortion its intended to prevent (</w:t>
      </w:r>
      <w:r w:rsidR="00EA682D">
        <w:rPr>
          <w:rFonts w:ascii="Times New Roman" w:hAnsi="Times New Roman" w:cs="Times New Roman"/>
          <w:i/>
          <w:iCs/>
        </w:rPr>
        <w:t xml:space="preserve">i.e., </w:t>
      </w:r>
      <w:r w:rsidR="0001254E">
        <w:rPr>
          <w:rFonts w:ascii="Times New Roman" w:hAnsi="Times New Roman" w:cs="Times New Roman"/>
        </w:rPr>
        <w:t>the conversion of ordinary income</w:t>
      </w:r>
      <w:r w:rsidR="00EA682D">
        <w:rPr>
          <w:rFonts w:ascii="Times New Roman" w:hAnsi="Times New Roman" w:cs="Times New Roman"/>
        </w:rPr>
        <w:t xml:space="preserve"> into capital gain). </w:t>
      </w:r>
      <w:r w:rsidR="00ED39CE">
        <w:rPr>
          <w:rFonts w:ascii="Times New Roman" w:hAnsi="Times New Roman" w:cs="Times New Roman"/>
        </w:rPr>
        <w:t xml:space="preserve">Limiting B4 only to non-245A E&amp;P would </w:t>
      </w:r>
      <w:r w:rsidR="006277D4">
        <w:rPr>
          <w:rFonts w:ascii="Times New Roman" w:hAnsi="Times New Roman" w:cs="Times New Roman"/>
        </w:rPr>
        <w:t xml:space="preserve">ensure that </w:t>
      </w:r>
      <w:r w:rsidR="009D4ED0">
        <w:rPr>
          <w:rFonts w:ascii="Times New Roman" w:hAnsi="Times New Roman" w:cs="Times New Roman"/>
        </w:rPr>
        <w:t xml:space="preserve">income is only accelerated when there is </w:t>
      </w:r>
      <w:r w:rsidR="00A6511B">
        <w:rPr>
          <w:rFonts w:ascii="Times New Roman" w:hAnsi="Times New Roman" w:cs="Times New Roman"/>
        </w:rPr>
        <w:t xml:space="preserve">a real potential </w:t>
      </w:r>
      <w:r w:rsidR="00055AC3">
        <w:rPr>
          <w:rFonts w:ascii="Times New Roman" w:hAnsi="Times New Roman" w:cs="Times New Roman"/>
        </w:rPr>
        <w:t xml:space="preserve">for a </w:t>
      </w:r>
      <w:r w:rsidR="00A6511B">
        <w:rPr>
          <w:rFonts w:ascii="Times New Roman" w:hAnsi="Times New Roman" w:cs="Times New Roman"/>
        </w:rPr>
        <w:t xml:space="preserve">distortion, which can occur when, for instance, </w:t>
      </w:r>
      <w:r w:rsidR="007866B7">
        <w:rPr>
          <w:rFonts w:ascii="Times New Roman" w:hAnsi="Times New Roman" w:cs="Times New Roman"/>
        </w:rPr>
        <w:t xml:space="preserve">a 245A shareholder </w:t>
      </w:r>
      <w:r w:rsidR="00055AC3">
        <w:rPr>
          <w:rFonts w:ascii="Times New Roman" w:hAnsi="Times New Roman" w:cs="Times New Roman"/>
        </w:rPr>
        <w:t xml:space="preserve">has an HDA with respect to CFC stock, and it transfers that CFC stock </w:t>
      </w:r>
      <w:r w:rsidR="00614549">
        <w:rPr>
          <w:rFonts w:ascii="Times New Roman" w:hAnsi="Times New Roman" w:cs="Times New Roman"/>
        </w:rPr>
        <w:t>to a</w:t>
      </w:r>
      <w:r w:rsidR="00377839">
        <w:rPr>
          <w:rFonts w:ascii="Times New Roman" w:hAnsi="Times New Roman" w:cs="Times New Roman"/>
        </w:rPr>
        <w:t xml:space="preserve"> foreign acquiring corporation that is not a CFC</w:t>
      </w:r>
      <w:r w:rsidR="00614549">
        <w:rPr>
          <w:rFonts w:ascii="Times New Roman" w:hAnsi="Times New Roman" w:cs="Times New Roman"/>
        </w:rPr>
        <w:t xml:space="preserve">. </w:t>
      </w:r>
      <w:r w:rsidR="000C01F5">
        <w:rPr>
          <w:rFonts w:ascii="Times New Roman" w:hAnsi="Times New Roman" w:cs="Times New Roman"/>
        </w:rPr>
        <w:t xml:space="preserve">As a result of that transaction, </w:t>
      </w:r>
      <w:r w:rsidR="002E26E9">
        <w:rPr>
          <w:rFonts w:ascii="Times New Roman" w:hAnsi="Times New Roman" w:cs="Times New Roman"/>
        </w:rPr>
        <w:t>because there is no longer a</w:t>
      </w:r>
      <w:r w:rsidR="00AE2F3B">
        <w:rPr>
          <w:rFonts w:ascii="Times New Roman" w:hAnsi="Times New Roman" w:cs="Times New Roman"/>
        </w:rPr>
        <w:t xml:space="preserve"> spe</w:t>
      </w:r>
      <w:r w:rsidR="003A488A">
        <w:rPr>
          <w:rFonts w:ascii="Times New Roman" w:hAnsi="Times New Roman" w:cs="Times New Roman"/>
        </w:rPr>
        <w:t>cified owner of the CFC immediately after the acquisition, the 245A shareholder’s HDA</w:t>
      </w:r>
      <w:r w:rsidR="00AE2F3B">
        <w:rPr>
          <w:rFonts w:ascii="Times New Roman" w:hAnsi="Times New Roman" w:cs="Times New Roman"/>
        </w:rPr>
        <w:t xml:space="preserve"> is eliminated.</w:t>
      </w:r>
      <w:r w:rsidR="00AE2F3B">
        <w:rPr>
          <w:rStyle w:val="FootnoteReference"/>
          <w:rFonts w:ascii="Times New Roman" w:hAnsi="Times New Roman" w:cs="Times New Roman"/>
        </w:rPr>
        <w:footnoteReference w:id="211"/>
      </w:r>
      <w:r w:rsidR="003A488A">
        <w:rPr>
          <w:rFonts w:ascii="Times New Roman" w:hAnsi="Times New Roman" w:cs="Times New Roman"/>
        </w:rPr>
        <w:t xml:space="preserve"> Furthermore, </w:t>
      </w:r>
      <w:r w:rsidR="00717673">
        <w:rPr>
          <w:rFonts w:ascii="Times New Roman" w:hAnsi="Times New Roman" w:cs="Times New Roman"/>
        </w:rPr>
        <w:t xml:space="preserve">any dividends paid </w:t>
      </w:r>
      <w:r w:rsidR="00377839">
        <w:rPr>
          <w:rFonts w:ascii="Times New Roman" w:hAnsi="Times New Roman" w:cs="Times New Roman"/>
        </w:rPr>
        <w:t>to the 245A shareholder by the</w:t>
      </w:r>
      <w:r w:rsidR="00717673">
        <w:rPr>
          <w:rFonts w:ascii="Times New Roman" w:hAnsi="Times New Roman" w:cs="Times New Roman"/>
        </w:rPr>
        <w:t xml:space="preserve"> foreign acquiring corporation</w:t>
      </w:r>
      <w:r w:rsidR="00377839">
        <w:rPr>
          <w:rFonts w:ascii="Times New Roman" w:hAnsi="Times New Roman" w:cs="Times New Roman"/>
        </w:rPr>
        <w:t xml:space="preserve">, including dividends ultimately sourced out of the E&amp;P of the acquired CFC, would be eligible for a 245A DRD. </w:t>
      </w:r>
      <w:r w:rsidR="00260E91">
        <w:rPr>
          <w:rFonts w:ascii="Times New Roman" w:hAnsi="Times New Roman" w:cs="Times New Roman"/>
        </w:rPr>
        <w:t>This is the type of transaction in which an inclusion of a 1248 amount under B</w:t>
      </w:r>
      <w:r w:rsidR="0060195B">
        <w:rPr>
          <w:rFonts w:ascii="Times New Roman" w:hAnsi="Times New Roman" w:cs="Times New Roman"/>
        </w:rPr>
        <w:t xml:space="preserve">4 </w:t>
      </w:r>
      <w:r w:rsidR="00260E91">
        <w:rPr>
          <w:rFonts w:ascii="Times New Roman" w:hAnsi="Times New Roman" w:cs="Times New Roman"/>
        </w:rPr>
        <w:t>would be appropriate.</w:t>
      </w:r>
      <w:r w:rsidR="0060195B">
        <w:rPr>
          <w:rFonts w:ascii="Times New Roman" w:hAnsi="Times New Roman" w:cs="Times New Roman"/>
        </w:rPr>
        <w:t xml:space="preserve"> </w:t>
      </w:r>
    </w:p>
    <w:p w14:paraId="14799F95" w14:textId="666D8363" w:rsidR="00BD4029" w:rsidRDefault="00A32057" w:rsidP="0018066D">
      <w:pPr>
        <w:spacing w:after="240" w:line="240" w:lineRule="auto"/>
        <w:rPr>
          <w:rFonts w:ascii="Times New Roman" w:hAnsi="Times New Roman" w:cs="Times New Roman"/>
        </w:rPr>
      </w:pPr>
      <w:r>
        <w:rPr>
          <w:rFonts w:ascii="Times New Roman" w:hAnsi="Times New Roman" w:cs="Times New Roman"/>
        </w:rPr>
        <w:t xml:space="preserve">As discussed in more detail in </w:t>
      </w:r>
      <w:r w:rsidR="00CE0F26">
        <w:rPr>
          <w:rFonts w:ascii="Times New Roman" w:hAnsi="Times New Roman" w:cs="Times New Roman"/>
        </w:rPr>
        <w:t>Part III.B.1.b</w:t>
      </w:r>
      <w:r w:rsidR="00A3476B">
        <w:rPr>
          <w:rFonts w:ascii="Times New Roman" w:hAnsi="Times New Roman" w:cs="Times New Roman"/>
        </w:rPr>
        <w:t xml:space="preserve"> </w:t>
      </w:r>
      <w:r w:rsidR="00D16A6C">
        <w:rPr>
          <w:rFonts w:ascii="Times New Roman" w:hAnsi="Times New Roman" w:cs="Times New Roman"/>
        </w:rPr>
        <w:t xml:space="preserve">and in Part IV.A </w:t>
      </w:r>
      <w:r w:rsidR="00A3476B">
        <w:rPr>
          <w:rFonts w:ascii="Times New Roman" w:hAnsi="Times New Roman" w:cs="Times New Roman"/>
        </w:rPr>
        <w:t>of this report</w:t>
      </w:r>
      <w:r>
        <w:rPr>
          <w:rFonts w:ascii="Times New Roman" w:hAnsi="Times New Roman" w:cs="Times New Roman"/>
        </w:rPr>
        <w:t xml:space="preserve">, </w:t>
      </w:r>
      <w:r w:rsidR="00A3476B">
        <w:rPr>
          <w:rFonts w:ascii="Times New Roman" w:hAnsi="Times New Roman" w:cs="Times New Roman"/>
        </w:rPr>
        <w:t>if</w:t>
      </w:r>
      <w:r w:rsidRPr="005F64BF">
        <w:rPr>
          <w:rFonts w:ascii="Times New Roman" w:hAnsi="Times New Roman" w:cs="Times New Roman"/>
        </w:rPr>
        <w:t xml:space="preserve"> an exchanging shareholder that is a U.S. person includes in income either an all E&amp;P amount or 1248 amount under B3 or B4, solely for purposes of computing foreign currency income or loss under Code Sec. 986(c), the shareholder is treated as receiving a distribution of PTEP</w:t>
      </w:r>
      <w:r w:rsidR="00A3476B">
        <w:rPr>
          <w:rFonts w:ascii="Times New Roman" w:hAnsi="Times New Roman" w:cs="Times New Roman"/>
        </w:rPr>
        <w:t xml:space="preserve">. This foreign currency gain or loss is ordinary income, and results in a basis increase or decrease in the stock of the domestic acquiring corporation received by the exchanging shareholder. </w:t>
      </w:r>
      <w:r w:rsidR="00D16A6C">
        <w:rPr>
          <w:rFonts w:ascii="Times New Roman" w:hAnsi="Times New Roman" w:cs="Times New Roman"/>
        </w:rPr>
        <w:t>The</w:t>
      </w:r>
      <w:r w:rsidR="00A3476B">
        <w:rPr>
          <w:rFonts w:ascii="Times New Roman" w:hAnsi="Times New Roman" w:cs="Times New Roman"/>
        </w:rPr>
        <w:t xml:space="preserve"> deemed distribution of PTEP and the resulting foreign currency gain or loss can have a material effect on the exchanging shareholder’s income. Therefore, even if </w:t>
      </w:r>
      <w:r w:rsidR="00874446">
        <w:rPr>
          <w:rFonts w:ascii="Times New Roman" w:hAnsi="Times New Roman" w:cs="Times New Roman"/>
        </w:rPr>
        <w:t xml:space="preserve">the approach were adopted to limit B3 and B4 to non-245A E&amp;P, the rule deeming a distribution of PTEP for purposes computing foreign currency gain or loss under Code Sec. 986(c) should be </w:t>
      </w:r>
      <w:r w:rsidR="00696DE6">
        <w:rPr>
          <w:rFonts w:ascii="Times New Roman" w:hAnsi="Times New Roman" w:cs="Times New Roman"/>
        </w:rPr>
        <w:t>maintained.</w:t>
      </w:r>
    </w:p>
    <w:p w14:paraId="28A30FAA" w14:textId="2AB013A6" w:rsidR="00BD4029" w:rsidRPr="00BD4029" w:rsidRDefault="00BD4029" w:rsidP="0018066D">
      <w:pPr>
        <w:pStyle w:val="Heading2"/>
        <w:widowControl w:val="0"/>
      </w:pPr>
      <w:r>
        <w:lastRenderedPageBreak/>
        <w:t>Conclusion</w:t>
      </w:r>
    </w:p>
    <w:p w14:paraId="0DFCF916" w14:textId="18EBC9A2" w:rsidR="007A62CA" w:rsidRPr="00843381" w:rsidRDefault="00D3760A" w:rsidP="0018066D">
      <w:pPr>
        <w:spacing w:after="240" w:line="240" w:lineRule="auto"/>
        <w:rPr>
          <w:rFonts w:ascii="Times New Roman" w:hAnsi="Times New Roman" w:cs="Times New Roman"/>
        </w:rPr>
      </w:pPr>
      <w:r>
        <w:rPr>
          <w:rFonts w:ascii="Times New Roman" w:hAnsi="Times New Roman" w:cs="Times New Roman"/>
        </w:rPr>
        <w:t>Aughhhh</w:t>
      </w:r>
      <w:r w:rsidR="00BE0C2B">
        <w:rPr>
          <w:rFonts w:ascii="Times New Roman" w:hAnsi="Times New Roman" w:cs="Times New Roman"/>
        </w:rPr>
        <w:t>….</w:t>
      </w:r>
    </w:p>
    <w:sectPr w:rsidR="007A62CA" w:rsidRPr="008433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5E9A" w14:textId="77777777" w:rsidR="002327A4" w:rsidRDefault="002327A4" w:rsidP="00DF508C">
      <w:pPr>
        <w:spacing w:after="0" w:line="240" w:lineRule="auto"/>
      </w:pPr>
      <w:r>
        <w:separator/>
      </w:r>
    </w:p>
  </w:endnote>
  <w:endnote w:type="continuationSeparator" w:id="0">
    <w:p w14:paraId="58FFE006" w14:textId="77777777" w:rsidR="002327A4" w:rsidRDefault="002327A4" w:rsidP="00DF508C">
      <w:pPr>
        <w:spacing w:after="0" w:line="240" w:lineRule="auto"/>
      </w:pPr>
      <w:r>
        <w:continuationSeparator/>
      </w:r>
    </w:p>
  </w:endnote>
  <w:endnote w:type="continuationNotice" w:id="1">
    <w:p w14:paraId="64BBDB80" w14:textId="77777777" w:rsidR="002327A4" w:rsidRDefault="00232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983C" w14:textId="77777777" w:rsidR="002327A4" w:rsidRDefault="002327A4" w:rsidP="00DF508C">
      <w:pPr>
        <w:spacing w:after="0" w:line="240" w:lineRule="auto"/>
      </w:pPr>
      <w:r>
        <w:separator/>
      </w:r>
    </w:p>
  </w:footnote>
  <w:footnote w:type="continuationSeparator" w:id="0">
    <w:p w14:paraId="35A28492" w14:textId="77777777" w:rsidR="002327A4" w:rsidRDefault="002327A4" w:rsidP="00DF508C">
      <w:pPr>
        <w:spacing w:after="0" w:line="240" w:lineRule="auto"/>
      </w:pPr>
      <w:r>
        <w:continuationSeparator/>
      </w:r>
    </w:p>
  </w:footnote>
  <w:footnote w:type="continuationNotice" w:id="1">
    <w:p w14:paraId="327E5F06" w14:textId="77777777" w:rsidR="002327A4" w:rsidRDefault="002327A4">
      <w:pPr>
        <w:spacing w:after="0" w:line="240" w:lineRule="auto"/>
      </w:pPr>
    </w:p>
  </w:footnote>
  <w:footnote w:id="2">
    <w:p w14:paraId="16D9D528" w14:textId="7DE829E6" w:rsidR="007027D6" w:rsidRPr="0068133F" w:rsidRDefault="007027D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DC7E0F" w:rsidRPr="0068133F">
        <w:rPr>
          <w:rFonts w:cs="Times New Roman"/>
          <w:sz w:val="18"/>
          <w:szCs w:val="18"/>
        </w:rPr>
        <w:t xml:space="preserve">Gary Scanlon is a principal and Elena Madaj is a senior manager </w:t>
      </w:r>
      <w:r w:rsidR="002B77AA" w:rsidRPr="0068133F">
        <w:rPr>
          <w:rFonts w:cs="Times New Roman"/>
          <w:sz w:val="18"/>
          <w:szCs w:val="18"/>
        </w:rPr>
        <w:t xml:space="preserve">in the international tax group of the Washington National Tax practice of KPMG LLP. </w:t>
      </w:r>
      <w:r w:rsidR="005501F6" w:rsidRPr="0068133F">
        <w:rPr>
          <w:rFonts w:cs="Times New Roman"/>
          <w:sz w:val="18"/>
          <w:szCs w:val="18"/>
        </w:rPr>
        <w:t xml:space="preserve">The information in this paper is not intended to be “written advice </w:t>
      </w:r>
      <w:r w:rsidR="00984128" w:rsidRPr="0068133F">
        <w:rPr>
          <w:rFonts w:cs="Times New Roman"/>
          <w:sz w:val="18"/>
          <w:szCs w:val="18"/>
        </w:rPr>
        <w:t>concerning</w:t>
      </w:r>
      <w:r w:rsidR="005501F6" w:rsidRPr="0068133F">
        <w:rPr>
          <w:rFonts w:cs="Times New Roman"/>
          <w:sz w:val="18"/>
          <w:szCs w:val="18"/>
        </w:rPr>
        <w:t xml:space="preserve"> one or more Federal tax matters” subject to the requirements of section 10.37(a)(2) of Treasury Department Circular 230. The information contained herein is of a general nature and based on authorities that are subject to change. </w:t>
      </w:r>
      <w:r w:rsidR="000C1A60" w:rsidRPr="0068133F">
        <w:rPr>
          <w:rFonts w:cs="Times New Roman"/>
          <w:sz w:val="18"/>
          <w:szCs w:val="18"/>
        </w:rPr>
        <w:t xml:space="preserve">Applicability of the information to specific situations should be determined through consultation </w:t>
      </w:r>
      <w:r w:rsidR="00411321" w:rsidRPr="0068133F">
        <w:rPr>
          <w:rFonts w:cs="Times New Roman"/>
          <w:sz w:val="18"/>
          <w:szCs w:val="18"/>
        </w:rPr>
        <w:t xml:space="preserve">with your tax adviser. This article represents </w:t>
      </w:r>
      <w:r w:rsidR="006B0E0B" w:rsidRPr="0068133F">
        <w:rPr>
          <w:rFonts w:cs="Times New Roman"/>
          <w:sz w:val="18"/>
          <w:szCs w:val="18"/>
        </w:rPr>
        <w:t>the views of the authors only and does not necessarily represent the views or professional advice</w:t>
      </w:r>
      <w:r w:rsidR="00F816AD" w:rsidRPr="0068133F">
        <w:rPr>
          <w:rFonts w:cs="Times New Roman"/>
          <w:sz w:val="18"/>
          <w:szCs w:val="18"/>
        </w:rPr>
        <w:t xml:space="preserve"> of KPMG LLP. </w:t>
      </w:r>
      <w:r w:rsidR="00E76F55" w:rsidRPr="0068133F">
        <w:rPr>
          <w:rFonts w:cs="Times New Roman"/>
          <w:sz w:val="18"/>
          <w:szCs w:val="18"/>
        </w:rPr>
        <w:t>The authors would like to thank the following for their helpful comments: [</w:t>
      </w:r>
      <w:r w:rsidR="007805DA" w:rsidRPr="0068133F">
        <w:rPr>
          <w:rFonts w:cs="Times New Roman"/>
          <w:sz w:val="18"/>
          <w:szCs w:val="18"/>
          <w:highlight w:val="yellow"/>
        </w:rPr>
        <w:t>YOUR NAME HERE</w:t>
      </w:r>
      <w:r w:rsidR="00E76F55" w:rsidRPr="0068133F">
        <w:rPr>
          <w:rFonts w:cs="Times New Roman"/>
          <w:sz w:val="18"/>
          <w:szCs w:val="18"/>
        </w:rPr>
        <w:t>]</w:t>
      </w:r>
      <w:r w:rsidR="00A5108A">
        <w:rPr>
          <w:rFonts w:cs="Times New Roman"/>
          <w:sz w:val="18"/>
          <w:szCs w:val="18"/>
        </w:rPr>
        <w:t>.</w:t>
      </w:r>
    </w:p>
  </w:footnote>
  <w:footnote w:id="3">
    <w:p w14:paraId="085615E6" w14:textId="67E1510A" w:rsidR="00B17D07" w:rsidRPr="0068133F" w:rsidRDefault="00B17D07"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F0543A" w:rsidRPr="0068133F">
        <w:rPr>
          <w:rFonts w:cs="Times New Roman"/>
          <w:sz w:val="18"/>
          <w:szCs w:val="18"/>
        </w:rPr>
        <w:t>Pub. L. No. 115-97,</w:t>
      </w:r>
      <w:r w:rsidRPr="0068133F">
        <w:rPr>
          <w:rFonts w:cs="Times New Roman"/>
          <w:sz w:val="18"/>
          <w:szCs w:val="18"/>
        </w:rPr>
        <w:t xml:space="preserve"> </w:t>
      </w:r>
      <w:r w:rsidR="0025674F" w:rsidRPr="0068133F">
        <w:rPr>
          <w:rFonts w:cs="Times New Roman"/>
          <w:sz w:val="18"/>
          <w:szCs w:val="18"/>
        </w:rPr>
        <w:t>131 Stat. 2054 (2017).</w:t>
      </w:r>
    </w:p>
  </w:footnote>
  <w:footnote w:id="4">
    <w:p w14:paraId="1DB6F79A" w14:textId="5EFE5777" w:rsidR="00CF7798" w:rsidRPr="0068133F" w:rsidRDefault="00CF7798"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331134" w:rsidRPr="0068133F">
        <w:rPr>
          <w:rFonts w:cs="Times New Roman"/>
          <w:sz w:val="18"/>
          <w:szCs w:val="18"/>
        </w:rPr>
        <w:t>Unless otherwise indicated, all “</w:t>
      </w:r>
      <w:r w:rsidR="00331134" w:rsidRPr="0068133F">
        <w:rPr>
          <w:rFonts w:cs="Times New Roman"/>
          <w:b/>
          <w:bCs/>
          <w:sz w:val="18"/>
          <w:szCs w:val="18"/>
        </w:rPr>
        <w:t>§</w:t>
      </w:r>
      <w:r w:rsidR="00331134" w:rsidRPr="0068133F">
        <w:rPr>
          <w:rFonts w:cs="Times New Roman"/>
          <w:sz w:val="18"/>
          <w:szCs w:val="18"/>
        </w:rPr>
        <w:t>” or “</w:t>
      </w:r>
      <w:r w:rsidR="00331134" w:rsidRPr="0068133F">
        <w:rPr>
          <w:rFonts w:cs="Times New Roman"/>
          <w:b/>
          <w:bCs/>
          <w:sz w:val="18"/>
          <w:szCs w:val="18"/>
        </w:rPr>
        <w:t>Section</w:t>
      </w:r>
      <w:r w:rsidR="00331134" w:rsidRPr="0068133F">
        <w:rPr>
          <w:rFonts w:cs="Times New Roman"/>
          <w:sz w:val="18"/>
          <w:szCs w:val="18"/>
        </w:rPr>
        <w:t>” references are to the Internal Revenue Code of 1986, as amended (the “</w:t>
      </w:r>
      <w:r w:rsidR="00331134" w:rsidRPr="0068133F">
        <w:rPr>
          <w:rFonts w:cs="Times New Roman"/>
          <w:b/>
          <w:bCs/>
          <w:sz w:val="18"/>
          <w:szCs w:val="18"/>
        </w:rPr>
        <w:t>Code</w:t>
      </w:r>
      <w:r w:rsidR="00331134" w:rsidRPr="0068133F">
        <w:rPr>
          <w:rFonts w:cs="Times New Roman"/>
          <w:sz w:val="18"/>
          <w:szCs w:val="18"/>
        </w:rPr>
        <w:t>”), or the regulations promulgated or proposed thereunder by the U.S. Department of the Treasury (the “</w:t>
      </w:r>
      <w:r w:rsidR="00331134" w:rsidRPr="0068133F">
        <w:rPr>
          <w:rFonts w:cs="Times New Roman"/>
          <w:b/>
          <w:bCs/>
          <w:sz w:val="18"/>
          <w:szCs w:val="18"/>
        </w:rPr>
        <w:t>Treasury</w:t>
      </w:r>
      <w:r w:rsidR="00331134" w:rsidRPr="0068133F">
        <w:rPr>
          <w:rFonts w:cs="Times New Roman"/>
          <w:sz w:val="18"/>
          <w:szCs w:val="18"/>
        </w:rPr>
        <w:t>” and such regulations, “</w:t>
      </w:r>
      <w:r w:rsidR="00331134" w:rsidRPr="0068133F">
        <w:rPr>
          <w:rFonts w:cs="Times New Roman"/>
          <w:b/>
          <w:bCs/>
          <w:sz w:val="18"/>
          <w:szCs w:val="18"/>
        </w:rPr>
        <w:t>Reg.</w:t>
      </w:r>
      <w:r w:rsidR="00331134" w:rsidRPr="0068133F">
        <w:rPr>
          <w:rFonts w:cs="Times New Roman"/>
          <w:sz w:val="18"/>
          <w:szCs w:val="18"/>
        </w:rPr>
        <w:t>” or “</w:t>
      </w:r>
      <w:r w:rsidR="00331134" w:rsidRPr="0068133F">
        <w:rPr>
          <w:rFonts w:cs="Times New Roman"/>
          <w:b/>
          <w:bCs/>
          <w:sz w:val="18"/>
          <w:szCs w:val="18"/>
        </w:rPr>
        <w:t>Regulations</w:t>
      </w:r>
      <w:r w:rsidR="00331134" w:rsidRPr="0068133F">
        <w:rPr>
          <w:rFonts w:cs="Times New Roman"/>
          <w:sz w:val="18"/>
          <w:szCs w:val="18"/>
        </w:rPr>
        <w:t>”).</w:t>
      </w:r>
      <w:r w:rsidR="00A5108A">
        <w:rPr>
          <w:rFonts w:cs="Times New Roman"/>
          <w:sz w:val="18"/>
          <w:szCs w:val="18"/>
        </w:rPr>
        <w:t xml:space="preserve"> </w:t>
      </w:r>
      <w:r w:rsidR="00331134" w:rsidRPr="0068133F">
        <w:rPr>
          <w:rFonts w:cs="Times New Roman"/>
          <w:sz w:val="18"/>
          <w:szCs w:val="18"/>
        </w:rPr>
        <w:t>Also, all references to the “</w:t>
      </w:r>
      <w:r w:rsidR="00331134" w:rsidRPr="0068133F">
        <w:rPr>
          <w:rFonts w:cs="Times New Roman"/>
          <w:b/>
          <w:bCs/>
          <w:sz w:val="18"/>
          <w:szCs w:val="18"/>
        </w:rPr>
        <w:t>Secretary</w:t>
      </w:r>
      <w:r w:rsidR="00331134" w:rsidRPr="0068133F">
        <w:rPr>
          <w:rFonts w:cs="Times New Roman"/>
          <w:sz w:val="18"/>
          <w:szCs w:val="18"/>
        </w:rPr>
        <w:t>” are to the Secretary of the Treasury, all references to the “</w:t>
      </w:r>
      <w:r w:rsidR="00331134" w:rsidRPr="0068133F">
        <w:rPr>
          <w:rFonts w:cs="Times New Roman"/>
          <w:b/>
          <w:bCs/>
          <w:sz w:val="18"/>
          <w:szCs w:val="18"/>
        </w:rPr>
        <w:t>IRS</w:t>
      </w:r>
      <w:r w:rsidR="00331134" w:rsidRPr="0068133F">
        <w:rPr>
          <w:rFonts w:cs="Times New Roman"/>
          <w:sz w:val="18"/>
          <w:szCs w:val="18"/>
        </w:rPr>
        <w:t>” are to the Internal Revenue Service</w:t>
      </w:r>
      <w:r w:rsidR="00233B24" w:rsidRPr="0068133F">
        <w:rPr>
          <w:rFonts w:cs="Times New Roman"/>
          <w:sz w:val="18"/>
          <w:szCs w:val="18"/>
        </w:rPr>
        <w:t>, and all references to “</w:t>
      </w:r>
      <w:r w:rsidR="00233B24" w:rsidRPr="0068133F">
        <w:rPr>
          <w:rFonts w:cs="Times New Roman"/>
          <w:b/>
          <w:bCs/>
          <w:sz w:val="18"/>
          <w:szCs w:val="18"/>
        </w:rPr>
        <w:t>Federal”</w:t>
      </w:r>
      <w:r w:rsidR="00233B24" w:rsidRPr="0068133F">
        <w:rPr>
          <w:rFonts w:cs="Times New Roman"/>
          <w:sz w:val="18"/>
          <w:szCs w:val="18"/>
        </w:rPr>
        <w:t xml:space="preserve"> income tax are</w:t>
      </w:r>
      <w:r w:rsidR="00331134" w:rsidRPr="0068133F">
        <w:rPr>
          <w:rFonts w:cs="Times New Roman"/>
          <w:sz w:val="18"/>
          <w:szCs w:val="18"/>
        </w:rPr>
        <w:t xml:space="preserve"> to U.S. </w:t>
      </w:r>
      <w:r w:rsidR="00233B24" w:rsidRPr="0068133F">
        <w:rPr>
          <w:rFonts w:cs="Times New Roman"/>
          <w:sz w:val="18"/>
          <w:szCs w:val="18"/>
        </w:rPr>
        <w:t>federal income tax</w:t>
      </w:r>
      <w:r w:rsidR="00331134" w:rsidRPr="0068133F">
        <w:rPr>
          <w:rFonts w:cs="Times New Roman"/>
          <w:sz w:val="18"/>
          <w:szCs w:val="18"/>
        </w:rPr>
        <w:t>.</w:t>
      </w:r>
    </w:p>
  </w:footnote>
  <w:footnote w:id="5">
    <w:p w14:paraId="71E6A1BE" w14:textId="492D79ED" w:rsidR="00157E2F" w:rsidRPr="0068133F" w:rsidRDefault="00157E2F" w:rsidP="00E15AEF">
      <w:pPr>
        <w:pStyle w:val="FootnoteText"/>
        <w:spacing w:after="120"/>
        <w:rPr>
          <w:rFonts w:cs="Times New Roman"/>
          <w:sz w:val="18"/>
          <w:szCs w:val="18"/>
        </w:rPr>
      </w:pPr>
      <w:r w:rsidRPr="0068133F">
        <w:rPr>
          <w:rStyle w:val="FootnoteReference"/>
          <w:rFonts w:cs="Times New Roman"/>
          <w:sz w:val="18"/>
          <w:szCs w:val="18"/>
        </w:rPr>
        <w:footnoteRef/>
      </w:r>
      <w:r w:rsidR="00A5108A">
        <w:rPr>
          <w:rFonts w:cs="Times New Roman"/>
          <w:sz w:val="18"/>
          <w:szCs w:val="18"/>
        </w:rPr>
        <w:t xml:space="preserve"> </w:t>
      </w:r>
      <w:bookmarkStart w:id="1" w:name="OLE_LINK5"/>
      <w:r w:rsidR="00A563EC" w:rsidRPr="0068133F">
        <w:rPr>
          <w:rFonts w:cs="Times New Roman"/>
          <w:sz w:val="18"/>
          <w:szCs w:val="18"/>
        </w:rPr>
        <w:t>Howard Marks</w:t>
      </w:r>
      <w:r w:rsidR="002334FC" w:rsidRPr="0068133F">
        <w:rPr>
          <w:rFonts w:cs="Times New Roman"/>
          <w:sz w:val="18"/>
          <w:szCs w:val="18"/>
        </w:rPr>
        <w:t xml:space="preserve">, co-founder of Oaktree Capital Management, once </w:t>
      </w:r>
      <w:r w:rsidR="00464D72" w:rsidRPr="0068133F">
        <w:rPr>
          <w:rFonts w:cs="Times New Roman"/>
          <w:sz w:val="18"/>
          <w:szCs w:val="18"/>
        </w:rPr>
        <w:t>said,</w:t>
      </w:r>
      <w:r w:rsidR="00A563EC" w:rsidRPr="0068133F">
        <w:rPr>
          <w:rFonts w:cs="Times New Roman"/>
          <w:sz w:val="18"/>
          <w:szCs w:val="18"/>
        </w:rPr>
        <w:t xml:space="preserve"> </w:t>
      </w:r>
      <w:bookmarkEnd w:id="1"/>
      <w:r w:rsidR="00A563EC" w:rsidRPr="0068133F">
        <w:rPr>
          <w:rFonts w:cs="Times New Roman"/>
          <w:sz w:val="18"/>
          <w:szCs w:val="18"/>
        </w:rPr>
        <w:t>“Never forget the six-foot-tall man who drowned crossing the stream that was five feet deep on average</w:t>
      </w:r>
      <w:r w:rsidR="00E76F55" w:rsidRPr="0068133F">
        <w:rPr>
          <w:rFonts w:cs="Times New Roman"/>
          <w:sz w:val="18"/>
          <w:szCs w:val="18"/>
        </w:rPr>
        <w:t>.</w:t>
      </w:r>
      <w:r w:rsidR="00A563EC" w:rsidRPr="0068133F">
        <w:rPr>
          <w:rFonts w:cs="Times New Roman"/>
          <w:sz w:val="18"/>
          <w:szCs w:val="18"/>
        </w:rPr>
        <w:t>”</w:t>
      </w:r>
      <w:r w:rsidR="002334FC" w:rsidRPr="0068133F">
        <w:rPr>
          <w:rFonts w:cs="Times New Roman"/>
          <w:sz w:val="18"/>
          <w:szCs w:val="18"/>
        </w:rPr>
        <w:t xml:space="preserve"> This has </w:t>
      </w:r>
      <w:r w:rsidR="004101D0" w:rsidRPr="0068133F">
        <w:rPr>
          <w:rFonts w:cs="Times New Roman"/>
          <w:sz w:val="18"/>
          <w:szCs w:val="18"/>
        </w:rPr>
        <w:t>evolved to sometimes describe more specifically a stati</w:t>
      </w:r>
      <w:r w:rsidR="006F102A" w:rsidRPr="0068133F">
        <w:rPr>
          <w:rFonts w:cs="Times New Roman"/>
          <w:sz w:val="18"/>
          <w:szCs w:val="18"/>
        </w:rPr>
        <w:t xml:space="preserve">stician drowning in a </w:t>
      </w:r>
      <w:r w:rsidR="002334FC" w:rsidRPr="0068133F">
        <w:rPr>
          <w:rFonts w:cs="Times New Roman"/>
          <w:sz w:val="18"/>
          <w:szCs w:val="18"/>
        </w:rPr>
        <w:t>two-</w:t>
      </w:r>
      <w:r w:rsidR="006F102A" w:rsidRPr="0068133F">
        <w:rPr>
          <w:rFonts w:cs="Times New Roman"/>
          <w:sz w:val="18"/>
          <w:szCs w:val="18"/>
        </w:rPr>
        <w:t>feet deep lake.</w:t>
      </w:r>
      <w:r w:rsidR="005D53F1" w:rsidRPr="0068133F">
        <w:rPr>
          <w:rFonts w:cs="Times New Roman"/>
          <w:sz w:val="18"/>
          <w:szCs w:val="18"/>
        </w:rPr>
        <w:t xml:space="preserve"> </w:t>
      </w:r>
      <w:r w:rsidR="002334FC" w:rsidRPr="0068133F">
        <w:rPr>
          <w:rFonts w:cs="Times New Roman"/>
          <w:sz w:val="18"/>
          <w:szCs w:val="18"/>
        </w:rPr>
        <w:t xml:space="preserve">We use </w:t>
      </w:r>
      <w:r w:rsidR="0063301D" w:rsidRPr="0068133F">
        <w:rPr>
          <w:rFonts w:cs="Times New Roman"/>
          <w:sz w:val="18"/>
          <w:szCs w:val="18"/>
        </w:rPr>
        <w:t xml:space="preserve">the </w:t>
      </w:r>
      <w:r w:rsidR="00EF71E3" w:rsidRPr="0068133F">
        <w:rPr>
          <w:rFonts w:cs="Times New Roman"/>
          <w:sz w:val="18"/>
          <w:szCs w:val="18"/>
        </w:rPr>
        <w:t>lat</w:t>
      </w:r>
      <w:r w:rsidR="0063301D" w:rsidRPr="0068133F">
        <w:rPr>
          <w:rFonts w:cs="Times New Roman"/>
          <w:sz w:val="18"/>
          <w:szCs w:val="18"/>
        </w:rPr>
        <w:t>t</w:t>
      </w:r>
      <w:r w:rsidR="00EF71E3" w:rsidRPr="0068133F">
        <w:rPr>
          <w:rFonts w:cs="Times New Roman"/>
          <w:sz w:val="18"/>
          <w:szCs w:val="18"/>
        </w:rPr>
        <w:t xml:space="preserve">er </w:t>
      </w:r>
      <w:r w:rsidR="002334FC" w:rsidRPr="0068133F">
        <w:rPr>
          <w:rFonts w:cs="Times New Roman"/>
          <w:sz w:val="18"/>
          <w:szCs w:val="18"/>
        </w:rPr>
        <w:t xml:space="preserve">version because </w:t>
      </w:r>
      <w:r w:rsidR="00EF71E3" w:rsidRPr="0068133F">
        <w:rPr>
          <w:rFonts w:cs="Times New Roman"/>
          <w:sz w:val="18"/>
          <w:szCs w:val="18"/>
        </w:rPr>
        <w:t xml:space="preserve">statisticians and lakes are </w:t>
      </w:r>
      <w:r w:rsidR="002334FC" w:rsidRPr="0068133F">
        <w:rPr>
          <w:rFonts w:cs="Times New Roman"/>
          <w:sz w:val="18"/>
          <w:szCs w:val="18"/>
        </w:rPr>
        <w:t>funnier. Sorry, Howard.</w:t>
      </w:r>
    </w:p>
  </w:footnote>
  <w:footnote w:id="6">
    <w:p w14:paraId="3D59A1DB" w14:textId="765A8136" w:rsidR="004227F9" w:rsidRPr="0068133F" w:rsidRDefault="004227F9" w:rsidP="00E15AEF">
      <w:pPr>
        <w:pStyle w:val="FootnoteText"/>
        <w:spacing w:after="120"/>
        <w:rPr>
          <w:rFonts w:cs="Times New Roman"/>
          <w:sz w:val="18"/>
          <w:szCs w:val="18"/>
        </w:rPr>
      </w:pPr>
      <w:r w:rsidRPr="0068133F">
        <w:rPr>
          <w:rStyle w:val="FootnoteReference"/>
          <w:rFonts w:cs="Times New Roman"/>
          <w:sz w:val="18"/>
          <w:szCs w:val="18"/>
        </w:rPr>
        <w:footnoteRef/>
      </w:r>
      <w:r w:rsidR="00A5108A">
        <w:rPr>
          <w:rFonts w:cs="Times New Roman"/>
          <w:sz w:val="18"/>
          <w:szCs w:val="18"/>
        </w:rPr>
        <w:t xml:space="preserve"> </w:t>
      </w:r>
      <w:r w:rsidR="00085EE1" w:rsidRPr="0068133F">
        <w:rPr>
          <w:rFonts w:cs="Times New Roman"/>
          <w:sz w:val="18"/>
          <w:szCs w:val="18"/>
        </w:rPr>
        <w:t>T</w:t>
      </w:r>
      <w:r w:rsidR="00233B24" w:rsidRPr="0068133F">
        <w:rPr>
          <w:rFonts w:cs="Times New Roman"/>
          <w:sz w:val="18"/>
          <w:szCs w:val="18"/>
        </w:rPr>
        <w:t>.</w:t>
      </w:r>
      <w:r w:rsidR="00085EE1" w:rsidRPr="0068133F">
        <w:rPr>
          <w:rFonts w:cs="Times New Roman"/>
          <w:sz w:val="18"/>
          <w:szCs w:val="18"/>
        </w:rPr>
        <w:t>D</w:t>
      </w:r>
      <w:r w:rsidR="00233B24" w:rsidRPr="0068133F">
        <w:rPr>
          <w:rFonts w:cs="Times New Roman"/>
          <w:sz w:val="18"/>
          <w:szCs w:val="18"/>
        </w:rPr>
        <w:t>.</w:t>
      </w:r>
      <w:r w:rsidR="00085EE1" w:rsidRPr="0068133F">
        <w:rPr>
          <w:rFonts w:cs="Times New Roman"/>
          <w:sz w:val="18"/>
          <w:szCs w:val="18"/>
        </w:rPr>
        <w:t xml:space="preserve"> 8862, 65 Fed. Reg. 3589, 3590 (Jan. 24, 2000)</w:t>
      </w:r>
      <w:r w:rsidR="00DD4865" w:rsidRPr="0068133F">
        <w:rPr>
          <w:rFonts w:cs="Times New Roman"/>
          <w:sz w:val="18"/>
          <w:szCs w:val="18"/>
        </w:rPr>
        <w:t>.</w:t>
      </w:r>
    </w:p>
  </w:footnote>
  <w:footnote w:id="7">
    <w:p w14:paraId="680E2609" w14:textId="100D73BB" w:rsidR="0053614E" w:rsidRPr="0068133F" w:rsidRDefault="0053614E" w:rsidP="00E15AEF">
      <w:pPr>
        <w:pStyle w:val="FootnoteText"/>
        <w:spacing w:after="120"/>
        <w:rPr>
          <w:rFonts w:cs="Times New Roman"/>
          <w:sz w:val="18"/>
          <w:szCs w:val="18"/>
        </w:rPr>
      </w:pPr>
      <w:r w:rsidRPr="0068133F">
        <w:rPr>
          <w:rStyle w:val="FootnoteReference"/>
          <w:rFonts w:cs="Times New Roman"/>
          <w:sz w:val="18"/>
          <w:szCs w:val="18"/>
        </w:rPr>
        <w:footnoteRef/>
      </w:r>
      <w:r w:rsidR="00A5108A">
        <w:rPr>
          <w:rFonts w:cs="Times New Roman"/>
          <w:sz w:val="18"/>
          <w:szCs w:val="18"/>
        </w:rPr>
        <w:t xml:space="preserve"> </w:t>
      </w:r>
      <w:r w:rsidR="00620D37" w:rsidRPr="0068133F">
        <w:rPr>
          <w:rFonts w:cs="Times New Roman"/>
          <w:sz w:val="18"/>
          <w:szCs w:val="18"/>
        </w:rPr>
        <w:t>S. Rep. No. 94-938</w:t>
      </w:r>
      <w:r w:rsidR="001F4746" w:rsidRPr="0068133F">
        <w:rPr>
          <w:rFonts w:cs="Times New Roman"/>
          <w:sz w:val="18"/>
          <w:szCs w:val="18"/>
        </w:rPr>
        <w:t>,</w:t>
      </w:r>
      <w:r w:rsidR="00620D37" w:rsidRPr="0068133F">
        <w:rPr>
          <w:rFonts w:cs="Times New Roman"/>
          <w:sz w:val="18"/>
          <w:szCs w:val="18"/>
        </w:rPr>
        <w:t xml:space="preserve"> at </w:t>
      </w:r>
      <w:r w:rsidR="004227F9" w:rsidRPr="0068133F">
        <w:rPr>
          <w:rFonts w:cs="Times New Roman"/>
          <w:sz w:val="18"/>
          <w:szCs w:val="18"/>
        </w:rPr>
        <w:t>263</w:t>
      </w:r>
      <w:r w:rsidR="00620D37" w:rsidRPr="0068133F">
        <w:rPr>
          <w:rFonts w:cs="Times New Roman"/>
          <w:sz w:val="18"/>
          <w:szCs w:val="18"/>
        </w:rPr>
        <w:t xml:space="preserve"> (1976).</w:t>
      </w:r>
    </w:p>
  </w:footnote>
  <w:footnote w:id="8">
    <w:p w14:paraId="6F283CDA" w14:textId="43DFF5AB" w:rsidR="00CE4539" w:rsidRPr="0068133F" w:rsidRDefault="00CE4539"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065A4C" w:rsidRPr="0068133F">
        <w:rPr>
          <w:rFonts w:cs="Times New Roman"/>
          <w:i/>
          <w:sz w:val="18"/>
          <w:szCs w:val="18"/>
        </w:rPr>
        <w:t>See, e.g.,</w:t>
      </w:r>
      <w:r w:rsidRPr="0068133F">
        <w:rPr>
          <w:rFonts w:cs="Times New Roman"/>
          <w:i/>
          <w:sz w:val="18"/>
          <w:szCs w:val="18"/>
        </w:rPr>
        <w:t xml:space="preserve"> </w:t>
      </w:r>
      <w:r w:rsidR="00A64C5E" w:rsidRPr="0068133F">
        <w:rPr>
          <w:rFonts w:cs="Times New Roman"/>
          <w:sz w:val="18"/>
          <w:szCs w:val="18"/>
        </w:rPr>
        <w:t xml:space="preserve">Stewart </w:t>
      </w:r>
      <w:r w:rsidRPr="0068133F">
        <w:rPr>
          <w:rFonts w:cs="Times New Roman"/>
          <w:sz w:val="18"/>
          <w:szCs w:val="18"/>
        </w:rPr>
        <w:t>Lipeles</w:t>
      </w:r>
      <w:r w:rsidR="00A64C5E" w:rsidRPr="0068133F">
        <w:rPr>
          <w:rFonts w:cs="Times New Roman"/>
          <w:sz w:val="18"/>
          <w:szCs w:val="18"/>
        </w:rPr>
        <w:t>,</w:t>
      </w:r>
      <w:r w:rsidRPr="0068133F">
        <w:rPr>
          <w:rFonts w:cs="Times New Roman"/>
          <w:sz w:val="18"/>
          <w:szCs w:val="18"/>
        </w:rPr>
        <w:t xml:space="preserve"> </w:t>
      </w:r>
      <w:r w:rsidRPr="0068133F">
        <w:rPr>
          <w:rFonts w:cs="Times New Roman"/>
          <w:i/>
          <w:sz w:val="18"/>
          <w:szCs w:val="18"/>
        </w:rPr>
        <w:t>et al</w:t>
      </w:r>
      <w:r w:rsidR="00682EBA" w:rsidRPr="0068133F">
        <w:rPr>
          <w:rFonts w:cs="Times New Roman"/>
          <w:i/>
          <w:sz w:val="18"/>
          <w:szCs w:val="18"/>
        </w:rPr>
        <w:t>.</w:t>
      </w:r>
      <w:r w:rsidR="00682EBA" w:rsidRPr="0068133F">
        <w:rPr>
          <w:rFonts w:cs="Times New Roman"/>
          <w:sz w:val="18"/>
          <w:szCs w:val="18"/>
        </w:rPr>
        <w:t xml:space="preserve">, </w:t>
      </w:r>
      <w:r w:rsidRPr="0068133F">
        <w:rPr>
          <w:rFonts w:cs="Times New Roman"/>
          <w:i/>
          <w:sz w:val="18"/>
          <w:szCs w:val="18"/>
        </w:rPr>
        <w:t>Did Anyone Notice the TCJA Made Section 367(b) Obsolete</w:t>
      </w:r>
      <w:r w:rsidR="00FF1FB4" w:rsidRPr="0068133F">
        <w:rPr>
          <w:rFonts w:cs="Times New Roman"/>
          <w:sz w:val="18"/>
          <w:szCs w:val="18"/>
        </w:rPr>
        <w:t xml:space="preserve">?, </w:t>
      </w:r>
      <w:r w:rsidR="006061A4" w:rsidRPr="0068133F">
        <w:rPr>
          <w:rFonts w:cs="Times New Roman"/>
          <w:sz w:val="18"/>
          <w:szCs w:val="18"/>
        </w:rPr>
        <w:t>TAXES The Magazine</w:t>
      </w:r>
      <w:r w:rsidR="00384536" w:rsidRPr="0068133F">
        <w:rPr>
          <w:rFonts w:cs="Times New Roman"/>
          <w:sz w:val="18"/>
          <w:szCs w:val="18"/>
        </w:rPr>
        <w:t xml:space="preserve"> (CCH), </w:t>
      </w:r>
      <w:r w:rsidRPr="0068133F">
        <w:rPr>
          <w:rFonts w:cs="Times New Roman"/>
          <w:sz w:val="18"/>
          <w:szCs w:val="18"/>
        </w:rPr>
        <w:t xml:space="preserve">July </w:t>
      </w:r>
      <w:r w:rsidR="00F6250A" w:rsidRPr="0068133F">
        <w:rPr>
          <w:rFonts w:cs="Times New Roman"/>
          <w:sz w:val="18"/>
          <w:szCs w:val="18"/>
        </w:rPr>
        <w:t>20</w:t>
      </w:r>
      <w:r w:rsidRPr="0068133F">
        <w:rPr>
          <w:rFonts w:cs="Times New Roman"/>
          <w:sz w:val="18"/>
          <w:szCs w:val="18"/>
        </w:rPr>
        <w:t>21</w:t>
      </w:r>
      <w:r w:rsidR="00F6250A" w:rsidRPr="0068133F">
        <w:rPr>
          <w:rFonts w:cs="Times New Roman"/>
          <w:sz w:val="18"/>
          <w:szCs w:val="18"/>
        </w:rPr>
        <w:t xml:space="preserve">, at </w:t>
      </w:r>
      <w:r w:rsidR="003F7ACF" w:rsidRPr="0068133F">
        <w:rPr>
          <w:rFonts w:cs="Times New Roman"/>
          <w:sz w:val="18"/>
          <w:szCs w:val="18"/>
        </w:rPr>
        <w:t>7</w:t>
      </w:r>
      <w:r w:rsidRPr="0068133F">
        <w:rPr>
          <w:rFonts w:cs="Times New Roman"/>
          <w:sz w:val="18"/>
          <w:szCs w:val="18"/>
        </w:rPr>
        <w:t>.</w:t>
      </w:r>
    </w:p>
  </w:footnote>
  <w:footnote w:id="9">
    <w:p w14:paraId="7CF4865F" w14:textId="456E478A" w:rsidR="00C51162" w:rsidRPr="0068133F" w:rsidRDefault="00C51162"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1B128E" w:rsidRPr="0068133F">
        <w:rPr>
          <w:rFonts w:cs="Times New Roman"/>
          <w:i/>
          <w:sz w:val="18"/>
          <w:szCs w:val="18"/>
        </w:rPr>
        <w:t>Se</w:t>
      </w:r>
      <w:r w:rsidR="001B128E" w:rsidRPr="0068133F">
        <w:rPr>
          <w:rFonts w:cs="Times New Roman"/>
          <w:i/>
          <w:iCs/>
          <w:sz w:val="18"/>
          <w:szCs w:val="18"/>
        </w:rPr>
        <w:t xml:space="preserve">e </w:t>
      </w:r>
      <w:r w:rsidR="001B128E" w:rsidRPr="0068133F">
        <w:rPr>
          <w:rFonts w:cs="Times New Roman"/>
          <w:sz w:val="18"/>
          <w:szCs w:val="18"/>
        </w:rPr>
        <w:t xml:space="preserve">preamble to proposed </w:t>
      </w:r>
      <w:r w:rsidR="00957961" w:rsidRPr="0068133F">
        <w:rPr>
          <w:rFonts w:cs="Times New Roman"/>
          <w:sz w:val="18"/>
          <w:szCs w:val="18"/>
        </w:rPr>
        <w:t xml:space="preserve">foreign tax credit </w:t>
      </w:r>
      <w:r w:rsidR="001B128E" w:rsidRPr="0068133F">
        <w:rPr>
          <w:rFonts w:cs="Times New Roman"/>
          <w:sz w:val="18"/>
          <w:szCs w:val="18"/>
        </w:rPr>
        <w:t>regulations</w:t>
      </w:r>
      <w:r w:rsidR="00957961" w:rsidRPr="0068133F">
        <w:rPr>
          <w:rFonts w:cs="Times New Roman"/>
          <w:sz w:val="18"/>
          <w:szCs w:val="18"/>
        </w:rPr>
        <w:t>,</w:t>
      </w:r>
      <w:r w:rsidR="001B128E" w:rsidRPr="0068133F">
        <w:rPr>
          <w:rFonts w:cs="Times New Roman"/>
          <w:sz w:val="18"/>
          <w:szCs w:val="18"/>
        </w:rPr>
        <w:t xml:space="preserve"> </w:t>
      </w:r>
      <w:r w:rsidR="001372C9" w:rsidRPr="0068133F">
        <w:rPr>
          <w:rFonts w:cs="Times New Roman"/>
          <w:sz w:val="18"/>
          <w:szCs w:val="18"/>
        </w:rPr>
        <w:t xml:space="preserve">85 Fed. Reg. </w:t>
      </w:r>
      <w:r w:rsidR="006D23B5" w:rsidRPr="0068133F">
        <w:rPr>
          <w:rFonts w:cs="Times New Roman"/>
          <w:sz w:val="18"/>
          <w:szCs w:val="18"/>
        </w:rPr>
        <w:t xml:space="preserve">72078, </w:t>
      </w:r>
      <w:r w:rsidR="008C6F96" w:rsidRPr="0068133F">
        <w:rPr>
          <w:rFonts w:cs="Times New Roman"/>
          <w:sz w:val="18"/>
          <w:szCs w:val="18"/>
        </w:rPr>
        <w:t>72081 (</w:t>
      </w:r>
      <w:r w:rsidR="005B581D" w:rsidRPr="0068133F">
        <w:rPr>
          <w:rFonts w:cs="Times New Roman"/>
          <w:sz w:val="18"/>
          <w:szCs w:val="18"/>
        </w:rPr>
        <w:t>Nov. 12, 2020).</w:t>
      </w:r>
    </w:p>
  </w:footnote>
  <w:footnote w:id="10">
    <w:p w14:paraId="5F9E2112" w14:textId="41EE6BF0" w:rsidR="00CF1B46" w:rsidRPr="0068133F" w:rsidRDefault="00CF1B4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C6800" w:rsidRPr="0068133F">
        <w:rPr>
          <w:rFonts w:cs="Times New Roman"/>
          <w:sz w:val="18"/>
          <w:szCs w:val="18"/>
        </w:rPr>
        <w:t xml:space="preserve">For purposes of the Code, </w:t>
      </w:r>
      <w:r w:rsidR="008D574A" w:rsidRPr="0068133F">
        <w:rPr>
          <w:rFonts w:cs="Times New Roman"/>
          <w:sz w:val="18"/>
          <w:szCs w:val="18"/>
        </w:rPr>
        <w:t>“</w:t>
      </w:r>
      <w:r w:rsidRPr="0068133F">
        <w:rPr>
          <w:rFonts w:cs="Times New Roman"/>
          <w:sz w:val="18"/>
          <w:szCs w:val="18"/>
        </w:rPr>
        <w:t>person</w:t>
      </w:r>
      <w:r w:rsidR="008D574A" w:rsidRPr="0068133F">
        <w:rPr>
          <w:rFonts w:cs="Times New Roman"/>
          <w:sz w:val="18"/>
          <w:szCs w:val="18"/>
        </w:rPr>
        <w:t>”</w:t>
      </w:r>
      <w:r w:rsidRPr="0068133F">
        <w:rPr>
          <w:rFonts w:cs="Times New Roman"/>
          <w:sz w:val="18"/>
          <w:szCs w:val="18"/>
        </w:rPr>
        <w:t xml:space="preserve"> mean</w:t>
      </w:r>
      <w:r w:rsidR="0073715B" w:rsidRPr="0068133F">
        <w:rPr>
          <w:rFonts w:cs="Times New Roman"/>
          <w:sz w:val="18"/>
          <w:szCs w:val="18"/>
        </w:rPr>
        <w:t>s</w:t>
      </w:r>
      <w:r w:rsidRPr="0068133F">
        <w:rPr>
          <w:rFonts w:cs="Times New Roman"/>
          <w:sz w:val="18"/>
          <w:szCs w:val="18"/>
        </w:rPr>
        <w:t xml:space="preserve"> and include</w:t>
      </w:r>
      <w:r w:rsidR="0073715B" w:rsidRPr="0068133F">
        <w:rPr>
          <w:rFonts w:cs="Times New Roman"/>
          <w:sz w:val="18"/>
          <w:szCs w:val="18"/>
        </w:rPr>
        <w:t>s</w:t>
      </w:r>
      <w:r w:rsidRPr="0068133F">
        <w:rPr>
          <w:rFonts w:cs="Times New Roman"/>
          <w:sz w:val="18"/>
          <w:szCs w:val="18"/>
        </w:rPr>
        <w:t xml:space="preserve"> an individual, trust, estate, partnership, association, company, or corporation. Code Sec. 7701(a)(1). </w:t>
      </w:r>
      <w:r w:rsidRPr="0068133F">
        <w:rPr>
          <w:rFonts w:cs="Times New Roman"/>
          <w:i/>
          <w:iCs/>
          <w:sz w:val="18"/>
          <w:szCs w:val="18"/>
        </w:rPr>
        <w:t>See also Moline Properties v. Comm’r</w:t>
      </w:r>
      <w:r w:rsidRPr="0068133F">
        <w:rPr>
          <w:rFonts w:cs="Times New Roman"/>
          <w:sz w:val="18"/>
          <w:szCs w:val="18"/>
        </w:rPr>
        <w:t xml:space="preserve">, 319 U.S. 436 (1943) (holding that a corporation is treated as an entity that is separate from its owner for </w:t>
      </w:r>
      <w:r w:rsidR="0073715B" w:rsidRPr="0068133F">
        <w:rPr>
          <w:rFonts w:cs="Times New Roman"/>
          <w:sz w:val="18"/>
          <w:szCs w:val="18"/>
        </w:rPr>
        <w:t xml:space="preserve">Federal </w:t>
      </w:r>
      <w:r w:rsidRPr="0068133F">
        <w:rPr>
          <w:rFonts w:cs="Times New Roman"/>
          <w:sz w:val="18"/>
          <w:szCs w:val="18"/>
        </w:rPr>
        <w:t>income tax purposes).</w:t>
      </w:r>
    </w:p>
  </w:footnote>
  <w:footnote w:id="11">
    <w:p w14:paraId="20002838" w14:textId="13E84894" w:rsidR="00CA50CF" w:rsidRPr="0068133F" w:rsidRDefault="00CA50C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While Code Sec. 951A (GILTI) is also</w:t>
      </w:r>
      <w:r w:rsidR="00DB5C83" w:rsidRPr="0068133F">
        <w:rPr>
          <w:rFonts w:cs="Times New Roman"/>
          <w:sz w:val="18"/>
          <w:szCs w:val="18"/>
        </w:rPr>
        <w:t xml:space="preserve"> in</w:t>
      </w:r>
      <w:r w:rsidRPr="0068133F">
        <w:rPr>
          <w:rFonts w:cs="Times New Roman"/>
          <w:sz w:val="18"/>
          <w:szCs w:val="18"/>
        </w:rPr>
        <w:t xml:space="preserve"> subpart F</w:t>
      </w:r>
      <w:r w:rsidR="00DB5C83" w:rsidRPr="0068133F">
        <w:rPr>
          <w:rFonts w:cs="Times New Roman"/>
          <w:sz w:val="18"/>
          <w:szCs w:val="18"/>
        </w:rPr>
        <w:t xml:space="preserve"> of the Code</w:t>
      </w:r>
      <w:r w:rsidRPr="0068133F">
        <w:rPr>
          <w:rFonts w:cs="Times New Roman"/>
          <w:sz w:val="18"/>
          <w:szCs w:val="18"/>
        </w:rPr>
        <w:t xml:space="preserve">, a reference to “subpart F” in this report </w:t>
      </w:r>
      <w:r w:rsidR="00DB5C83" w:rsidRPr="0068133F">
        <w:rPr>
          <w:rFonts w:cs="Times New Roman"/>
          <w:sz w:val="18"/>
          <w:szCs w:val="18"/>
        </w:rPr>
        <w:t>should be construed as a reference to the set of rules with respect to a U.S. shareholder’s inclusion of subpart F income under Code Sec. 951.</w:t>
      </w:r>
    </w:p>
  </w:footnote>
  <w:footnote w:id="12">
    <w:p w14:paraId="2072F068" w14:textId="06A2FBC9" w:rsidR="00C574CC" w:rsidRPr="0068133F" w:rsidRDefault="00C574C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Subpart F income includes foreign base company income as defined in Code Sec. 954, which consists of foreign personal holding company income as defined in Code Sec. 954(c) (“</w:t>
      </w:r>
      <w:r w:rsidRPr="0068133F">
        <w:rPr>
          <w:rFonts w:cs="Times New Roman"/>
          <w:b/>
          <w:bCs/>
          <w:sz w:val="18"/>
          <w:szCs w:val="18"/>
        </w:rPr>
        <w:t>FPHCI</w:t>
      </w:r>
      <w:r w:rsidRPr="0068133F">
        <w:rPr>
          <w:rFonts w:cs="Times New Roman"/>
          <w:sz w:val="18"/>
          <w:szCs w:val="18"/>
        </w:rPr>
        <w:t xml:space="preserve">”), foreign base company sales income as defined in Code Sec. 954(d). Code Sec. 952(a). Subpart F income of a CFC is generally limited to its current </w:t>
      </w:r>
      <w:r w:rsidR="00BA5FA0" w:rsidRPr="0068133F">
        <w:rPr>
          <w:rFonts w:cs="Times New Roman"/>
          <w:sz w:val="18"/>
          <w:szCs w:val="18"/>
        </w:rPr>
        <w:t>E&amp;</w:t>
      </w:r>
      <w:r w:rsidR="00C91107" w:rsidRPr="0068133F">
        <w:rPr>
          <w:rFonts w:cs="Times New Roman"/>
          <w:sz w:val="18"/>
          <w:szCs w:val="18"/>
        </w:rPr>
        <w:t>P</w:t>
      </w:r>
      <w:r w:rsidRPr="0068133F">
        <w:rPr>
          <w:rFonts w:cs="Times New Roman"/>
          <w:sz w:val="18"/>
          <w:szCs w:val="18"/>
        </w:rPr>
        <w:t>. Code Sec. 952(c).</w:t>
      </w:r>
    </w:p>
  </w:footnote>
  <w:footnote w:id="13">
    <w:p w14:paraId="019FCAF2" w14:textId="66A0A813" w:rsidR="00C24479" w:rsidRPr="0068133F" w:rsidRDefault="00C24479"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F4438C" w:rsidRPr="0068133F">
        <w:rPr>
          <w:rFonts w:cs="Times New Roman"/>
          <w:sz w:val="18"/>
          <w:szCs w:val="18"/>
        </w:rPr>
        <w:t xml:space="preserve">H.R. Rep. </w:t>
      </w:r>
      <w:r w:rsidR="007225D0" w:rsidRPr="0068133F">
        <w:rPr>
          <w:rFonts w:cs="Times New Roman"/>
          <w:sz w:val="18"/>
          <w:szCs w:val="18"/>
        </w:rPr>
        <w:t xml:space="preserve">No. </w:t>
      </w:r>
      <w:r w:rsidR="00F4438C" w:rsidRPr="0068133F">
        <w:rPr>
          <w:rFonts w:cs="Times New Roman"/>
          <w:sz w:val="18"/>
          <w:szCs w:val="18"/>
        </w:rPr>
        <w:t xml:space="preserve">87-1447, </w:t>
      </w:r>
      <w:r w:rsidR="00E833CA" w:rsidRPr="0068133F">
        <w:rPr>
          <w:rFonts w:cs="Times New Roman"/>
          <w:sz w:val="18"/>
          <w:szCs w:val="18"/>
        </w:rPr>
        <w:t xml:space="preserve">at </w:t>
      </w:r>
      <w:r w:rsidR="00F4438C" w:rsidRPr="0068133F">
        <w:rPr>
          <w:rFonts w:cs="Times New Roman"/>
          <w:sz w:val="18"/>
          <w:szCs w:val="18"/>
        </w:rPr>
        <w:t>57 (1962) (“</w:t>
      </w:r>
      <w:r w:rsidR="001023A9" w:rsidRPr="0068133F">
        <w:rPr>
          <w:rFonts w:cs="Times New Roman"/>
          <w:b/>
          <w:bCs/>
          <w:sz w:val="18"/>
          <w:szCs w:val="18"/>
        </w:rPr>
        <w:t>1962 House Report</w:t>
      </w:r>
      <w:r w:rsidR="001023A9" w:rsidRPr="0068133F">
        <w:rPr>
          <w:rFonts w:cs="Times New Roman"/>
          <w:sz w:val="18"/>
          <w:szCs w:val="18"/>
        </w:rPr>
        <w:t>”)</w:t>
      </w:r>
      <w:r w:rsidRPr="0068133F">
        <w:rPr>
          <w:rFonts w:cs="Times New Roman"/>
          <w:sz w:val="18"/>
          <w:szCs w:val="18"/>
        </w:rPr>
        <w:t>.</w:t>
      </w:r>
    </w:p>
  </w:footnote>
  <w:footnote w:id="14">
    <w:p w14:paraId="647470BC" w14:textId="77777777" w:rsidR="002D49B0" w:rsidRPr="0068133F" w:rsidRDefault="002D49B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Stock owned within the meaning of Code Sec. 958(a) is stock owned (i) directly or (ii) indirectly through a foreign entity. Code Sec. 958(a).</w:t>
      </w:r>
    </w:p>
  </w:footnote>
  <w:footnote w:id="15">
    <w:p w14:paraId="21104C75" w14:textId="7570881B" w:rsidR="00E33753" w:rsidRPr="00BC1AD2" w:rsidRDefault="00E33753" w:rsidP="00E15AEF">
      <w:pPr>
        <w:pStyle w:val="FootnoteText"/>
        <w:spacing w:after="120"/>
        <w:rPr>
          <w:rFonts w:cs="Times New Roman"/>
          <w:sz w:val="18"/>
          <w:szCs w:val="18"/>
        </w:rPr>
      </w:pPr>
      <w:r w:rsidRPr="00BC1AD2">
        <w:rPr>
          <w:rStyle w:val="FootnoteReference"/>
          <w:rFonts w:cs="Times New Roman"/>
          <w:sz w:val="18"/>
          <w:szCs w:val="18"/>
        </w:rPr>
        <w:footnoteRef/>
      </w:r>
      <w:r w:rsidRPr="00BC1AD2">
        <w:rPr>
          <w:rFonts w:cs="Times New Roman"/>
          <w:sz w:val="18"/>
          <w:szCs w:val="18"/>
        </w:rPr>
        <w:t xml:space="preserve"> A U.S. shareholder of a CFC also must generally increase its gross income by its pro rata share of the increase in the earnings invested by the CFC in U.S. property for the taxable year. Code Sec. 951(a)(1)(B)</w:t>
      </w:r>
      <w:r w:rsidR="00594C68" w:rsidRPr="00BC1AD2">
        <w:rPr>
          <w:rFonts w:cs="Times New Roman"/>
          <w:sz w:val="18"/>
          <w:szCs w:val="18"/>
        </w:rPr>
        <w:t xml:space="preserve">. Code Sec. 956 provides the </w:t>
      </w:r>
      <w:r w:rsidR="00090B6A" w:rsidRPr="00BC1AD2">
        <w:rPr>
          <w:rFonts w:cs="Times New Roman"/>
          <w:sz w:val="18"/>
          <w:szCs w:val="18"/>
        </w:rPr>
        <w:t xml:space="preserve">operative rules that determine the amount included in income </w:t>
      </w:r>
      <w:r w:rsidR="00854B83" w:rsidRPr="00BC1AD2">
        <w:rPr>
          <w:rFonts w:cs="Times New Roman"/>
          <w:sz w:val="18"/>
          <w:szCs w:val="18"/>
        </w:rPr>
        <w:t>of a U.S. shareholder under Code Sec. 951(a)(1)(B).</w:t>
      </w:r>
    </w:p>
  </w:footnote>
  <w:footnote w:id="16">
    <w:p w14:paraId="6D436F74" w14:textId="08F6594B" w:rsidR="006E57F2" w:rsidRPr="0068133F" w:rsidRDefault="006E57F2"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951(a)(2) and Reg. §1.951-1(e). </w:t>
      </w:r>
    </w:p>
  </w:footnote>
  <w:footnote w:id="17">
    <w:p w14:paraId="65567A21" w14:textId="48B185C4" w:rsidR="006E57F2" w:rsidRPr="0068133F" w:rsidRDefault="006E57F2"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Stock owned within the meaning of Code Sec. 958(b) is stock owned applying the constructive ownership rules of </w:t>
      </w:r>
      <w:r w:rsidR="0074481A" w:rsidRPr="0068133F">
        <w:rPr>
          <w:rFonts w:cs="Times New Roman"/>
          <w:sz w:val="18"/>
          <w:szCs w:val="18"/>
        </w:rPr>
        <w:t xml:space="preserve">Code Sec. </w:t>
      </w:r>
      <w:r w:rsidRPr="0068133F">
        <w:rPr>
          <w:rFonts w:cs="Times New Roman"/>
          <w:sz w:val="18"/>
          <w:szCs w:val="18"/>
        </w:rPr>
        <w:t>318(a), subject to certain modifications. Code Sec. 958(b).</w:t>
      </w:r>
    </w:p>
  </w:footnote>
  <w:footnote w:id="18">
    <w:p w14:paraId="41983B0D" w14:textId="5E9DA438" w:rsidR="006E57F2" w:rsidRPr="0068133F" w:rsidRDefault="006E57F2"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957</w:t>
      </w:r>
      <w:r w:rsidR="0073083A" w:rsidRPr="0068133F">
        <w:rPr>
          <w:rFonts w:cs="Times New Roman"/>
          <w:sz w:val="18"/>
          <w:szCs w:val="18"/>
        </w:rPr>
        <w:t>(a)</w:t>
      </w:r>
      <w:r w:rsidRPr="0068133F">
        <w:rPr>
          <w:rFonts w:cs="Times New Roman"/>
          <w:sz w:val="18"/>
          <w:szCs w:val="18"/>
        </w:rPr>
        <w:t xml:space="preserve">. </w:t>
      </w:r>
    </w:p>
  </w:footnote>
  <w:footnote w:id="19">
    <w:p w14:paraId="0144061E" w14:textId="77777777" w:rsidR="003C1917" w:rsidRPr="0068133F" w:rsidRDefault="003C1917"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951(b). </w:t>
      </w:r>
    </w:p>
  </w:footnote>
  <w:footnote w:id="20">
    <w:p w14:paraId="48FCDB08" w14:textId="67962FD3" w:rsidR="00D637F1" w:rsidRPr="0068133F" w:rsidRDefault="00D637F1"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7E0AD3" w:rsidRPr="0068133F">
        <w:rPr>
          <w:rFonts w:cs="Times New Roman"/>
          <w:sz w:val="18"/>
          <w:szCs w:val="18"/>
        </w:rPr>
        <w:t>1962</w:t>
      </w:r>
      <w:r w:rsidRPr="0068133F">
        <w:rPr>
          <w:rFonts w:cs="Times New Roman"/>
          <w:sz w:val="18"/>
          <w:szCs w:val="18"/>
        </w:rPr>
        <w:t xml:space="preserve"> </w:t>
      </w:r>
      <w:bookmarkStart w:id="4" w:name="OLE_LINK29"/>
      <w:r w:rsidRPr="0068133F">
        <w:rPr>
          <w:rFonts w:cs="Times New Roman"/>
          <w:sz w:val="18"/>
          <w:szCs w:val="18"/>
        </w:rPr>
        <w:t xml:space="preserve">House Report </w:t>
      </w:r>
      <w:r w:rsidR="00E833CA" w:rsidRPr="0068133F">
        <w:rPr>
          <w:rFonts w:cs="Times New Roman"/>
          <w:sz w:val="18"/>
          <w:szCs w:val="18"/>
        </w:rPr>
        <w:t xml:space="preserve">at </w:t>
      </w:r>
      <w:r w:rsidRPr="0068133F">
        <w:rPr>
          <w:rFonts w:cs="Times New Roman"/>
          <w:sz w:val="18"/>
          <w:szCs w:val="18"/>
        </w:rPr>
        <w:t xml:space="preserve">59. </w:t>
      </w:r>
      <w:bookmarkEnd w:id="4"/>
    </w:p>
  </w:footnote>
  <w:footnote w:id="21">
    <w:p w14:paraId="65B5B00C" w14:textId="04D70B17" w:rsidR="00C2613E" w:rsidRPr="0068133F" w:rsidRDefault="00C2613E"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959(a) and (b).</w:t>
      </w:r>
    </w:p>
  </w:footnote>
  <w:footnote w:id="22">
    <w:p w14:paraId="178782DE" w14:textId="39A3F717" w:rsidR="00C2613E" w:rsidRPr="0068133F" w:rsidRDefault="00C2613E"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961(a) and (b).</w:t>
      </w:r>
      <w:r w:rsidR="009F50FE" w:rsidRPr="0068133F">
        <w:rPr>
          <w:rFonts w:cs="Times New Roman"/>
          <w:sz w:val="18"/>
          <w:szCs w:val="18"/>
        </w:rPr>
        <w:t xml:space="preserve"> To the extent that an amount excluded from gross income under </w:t>
      </w:r>
      <w:r w:rsidR="00626DF2" w:rsidRPr="0068133F">
        <w:rPr>
          <w:rFonts w:cs="Times New Roman"/>
          <w:sz w:val="18"/>
          <w:szCs w:val="18"/>
        </w:rPr>
        <w:t>Code Sec.</w:t>
      </w:r>
      <w:r w:rsidR="009F50FE" w:rsidRPr="0068133F">
        <w:rPr>
          <w:rFonts w:cs="Times New Roman"/>
          <w:sz w:val="18"/>
          <w:szCs w:val="18"/>
        </w:rPr>
        <w:t xml:space="preserve"> 959(a) exceeds the basis of the stock or other property with respect to which it is received, the amount is treated as gain from the sale or exchange of property. Code Sec. 961(b)(2).</w:t>
      </w:r>
    </w:p>
  </w:footnote>
  <w:footnote w:id="23">
    <w:p w14:paraId="2D304BA6" w14:textId="2B4D8784" w:rsidR="00C2613E" w:rsidRPr="0068133F" w:rsidRDefault="00C2613E"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961(c)</w:t>
      </w:r>
      <w:r w:rsidR="001003EC" w:rsidRPr="0068133F">
        <w:rPr>
          <w:rFonts w:cs="Times New Roman"/>
          <w:sz w:val="18"/>
          <w:szCs w:val="18"/>
        </w:rPr>
        <w:t>.</w:t>
      </w:r>
    </w:p>
  </w:footnote>
  <w:footnote w:id="24">
    <w:p w14:paraId="568CE0C7" w14:textId="7A28A9E2" w:rsidR="00FF2C3E" w:rsidRPr="0068133F" w:rsidRDefault="00FF2C3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9F3FC9" w:rsidRPr="0068133F">
        <w:rPr>
          <w:rFonts w:cs="Times New Roman"/>
          <w:i/>
          <w:iCs/>
          <w:sz w:val="18"/>
          <w:szCs w:val="18"/>
        </w:rPr>
        <w:t>See</w:t>
      </w:r>
      <w:r w:rsidR="009F3FC9" w:rsidRPr="0068133F">
        <w:rPr>
          <w:rFonts w:cs="Times New Roman"/>
          <w:sz w:val="18"/>
          <w:szCs w:val="18"/>
        </w:rPr>
        <w:t xml:space="preserve"> </w:t>
      </w:r>
      <w:r w:rsidR="00F7207E" w:rsidRPr="0068133F">
        <w:rPr>
          <w:rFonts w:cs="Times New Roman"/>
          <w:sz w:val="18"/>
          <w:szCs w:val="18"/>
        </w:rPr>
        <w:t xml:space="preserve">S. Rep. </w:t>
      </w:r>
      <w:r w:rsidR="007225D0" w:rsidRPr="0068133F">
        <w:rPr>
          <w:rFonts w:cs="Times New Roman"/>
          <w:sz w:val="18"/>
          <w:szCs w:val="18"/>
        </w:rPr>
        <w:t>No.</w:t>
      </w:r>
      <w:r w:rsidR="00F7207E" w:rsidRPr="0068133F">
        <w:rPr>
          <w:rFonts w:cs="Times New Roman"/>
          <w:sz w:val="18"/>
          <w:szCs w:val="18"/>
        </w:rPr>
        <w:t xml:space="preserve"> 87-1881</w:t>
      </w:r>
      <w:r w:rsidR="00B82BA6" w:rsidRPr="0068133F">
        <w:rPr>
          <w:rFonts w:cs="Times New Roman"/>
          <w:sz w:val="18"/>
          <w:szCs w:val="18"/>
        </w:rPr>
        <w:t xml:space="preserve">, </w:t>
      </w:r>
      <w:r w:rsidR="00FC4C6E" w:rsidRPr="0068133F">
        <w:rPr>
          <w:rFonts w:cs="Times New Roman"/>
          <w:sz w:val="18"/>
          <w:szCs w:val="18"/>
        </w:rPr>
        <w:t xml:space="preserve">at </w:t>
      </w:r>
      <w:r w:rsidR="00FD62EB" w:rsidRPr="0068133F">
        <w:rPr>
          <w:rFonts w:cs="Times New Roman"/>
          <w:sz w:val="18"/>
          <w:szCs w:val="18"/>
        </w:rPr>
        <w:t>107</w:t>
      </w:r>
      <w:r w:rsidR="00E0441D" w:rsidRPr="0068133F">
        <w:rPr>
          <w:rFonts w:cs="Times New Roman"/>
          <w:sz w:val="18"/>
          <w:szCs w:val="18"/>
        </w:rPr>
        <w:t xml:space="preserve"> (1962)</w:t>
      </w:r>
      <w:r w:rsidR="00FD62EB" w:rsidRPr="0068133F">
        <w:rPr>
          <w:rFonts w:cs="Times New Roman"/>
          <w:sz w:val="18"/>
          <w:szCs w:val="18"/>
        </w:rPr>
        <w:t>.</w:t>
      </w:r>
      <w:r w:rsidR="00825DC6" w:rsidRPr="0068133F">
        <w:rPr>
          <w:rFonts w:cs="Times New Roman"/>
          <w:sz w:val="18"/>
          <w:szCs w:val="18"/>
        </w:rPr>
        <w:t xml:space="preserve"> </w:t>
      </w:r>
      <w:r w:rsidR="008E2AC8" w:rsidRPr="0068133F">
        <w:rPr>
          <w:rFonts w:cs="Times New Roman"/>
          <w:sz w:val="18"/>
          <w:szCs w:val="18"/>
        </w:rPr>
        <w:t>Congress appears to have</w:t>
      </w:r>
      <w:r w:rsidR="001B776B" w:rsidRPr="0068133F">
        <w:rPr>
          <w:rFonts w:cs="Times New Roman"/>
          <w:sz w:val="18"/>
          <w:szCs w:val="18"/>
        </w:rPr>
        <w:t xml:space="preserve"> equated a monetization of the CFC stock through a sale or exchange with a “repatriation” of the CFC’s earnings.</w:t>
      </w:r>
    </w:p>
  </w:footnote>
  <w:footnote w:id="25">
    <w:p w14:paraId="3939081B" w14:textId="050A3572" w:rsidR="002D115C" w:rsidRPr="0068133F" w:rsidRDefault="002D115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115EE" w:rsidRPr="0068133F">
        <w:rPr>
          <w:rFonts w:cs="Times New Roman"/>
          <w:sz w:val="18"/>
          <w:szCs w:val="18"/>
        </w:rPr>
        <w:t>The</w:t>
      </w:r>
      <w:r w:rsidR="00A83051" w:rsidRPr="0068133F">
        <w:rPr>
          <w:rFonts w:cs="Times New Roman"/>
          <w:sz w:val="18"/>
          <w:szCs w:val="18"/>
        </w:rPr>
        <w:t xml:space="preserve"> </w:t>
      </w:r>
      <w:r w:rsidRPr="0068133F">
        <w:rPr>
          <w:rFonts w:cs="Times New Roman"/>
          <w:sz w:val="18"/>
          <w:szCs w:val="18"/>
        </w:rPr>
        <w:t xml:space="preserve">1962 House Report </w:t>
      </w:r>
      <w:r w:rsidR="00A83051" w:rsidRPr="0068133F">
        <w:rPr>
          <w:rFonts w:cs="Times New Roman"/>
          <w:sz w:val="18"/>
          <w:szCs w:val="18"/>
        </w:rPr>
        <w:t xml:space="preserve">observed </w:t>
      </w:r>
      <w:r w:rsidRPr="0068133F">
        <w:rPr>
          <w:rFonts w:cs="Times New Roman"/>
          <w:sz w:val="18"/>
          <w:szCs w:val="18"/>
        </w:rPr>
        <w:t xml:space="preserve">that it was also possible to </w:t>
      </w:r>
      <w:r w:rsidR="00DC09F5" w:rsidRPr="0068133F">
        <w:rPr>
          <w:rFonts w:cs="Times New Roman"/>
          <w:sz w:val="18"/>
          <w:szCs w:val="18"/>
        </w:rPr>
        <w:t xml:space="preserve">repatriate </w:t>
      </w:r>
      <w:r w:rsidR="00A83051" w:rsidRPr="0068133F">
        <w:rPr>
          <w:rFonts w:cs="Times New Roman"/>
          <w:sz w:val="18"/>
          <w:szCs w:val="18"/>
        </w:rPr>
        <w:t xml:space="preserve">E&amp;P tax-free </w:t>
      </w:r>
      <w:r w:rsidRPr="0068133F">
        <w:rPr>
          <w:rFonts w:cs="Times New Roman"/>
          <w:sz w:val="18"/>
          <w:szCs w:val="18"/>
        </w:rPr>
        <w:t xml:space="preserve">through </w:t>
      </w:r>
      <w:r w:rsidR="00A83051" w:rsidRPr="0068133F">
        <w:rPr>
          <w:rFonts w:cs="Times New Roman"/>
          <w:sz w:val="18"/>
          <w:szCs w:val="18"/>
        </w:rPr>
        <w:t>nonrecognition transaction</w:t>
      </w:r>
      <w:r w:rsidR="00170486" w:rsidRPr="0068133F">
        <w:rPr>
          <w:rFonts w:cs="Times New Roman"/>
          <w:sz w:val="18"/>
          <w:szCs w:val="18"/>
        </w:rPr>
        <w:t xml:space="preserve">s, such as a complete liquidation. However, </w:t>
      </w:r>
      <w:r w:rsidR="002115EE" w:rsidRPr="0068133F">
        <w:rPr>
          <w:rFonts w:cs="Times New Roman"/>
          <w:sz w:val="18"/>
          <w:szCs w:val="18"/>
        </w:rPr>
        <w:t xml:space="preserve">Congress was assured that, under the advance ruling requirement of Code Sec. 367, any </w:t>
      </w:r>
      <w:r w:rsidR="00A83051" w:rsidRPr="0068133F">
        <w:rPr>
          <w:rFonts w:cs="Times New Roman"/>
          <w:sz w:val="18"/>
          <w:szCs w:val="18"/>
        </w:rPr>
        <w:t xml:space="preserve">such repatriation had </w:t>
      </w:r>
      <w:r w:rsidR="00402FC1" w:rsidRPr="0068133F">
        <w:rPr>
          <w:rFonts w:cs="Times New Roman"/>
          <w:sz w:val="18"/>
          <w:szCs w:val="18"/>
        </w:rPr>
        <w:t xml:space="preserve">to be </w:t>
      </w:r>
      <w:r w:rsidR="002115EE" w:rsidRPr="0068133F">
        <w:rPr>
          <w:rFonts w:cs="Times New Roman"/>
          <w:sz w:val="18"/>
          <w:szCs w:val="18"/>
        </w:rPr>
        <w:t>pre-</w:t>
      </w:r>
      <w:r w:rsidR="00402FC1" w:rsidRPr="0068133F">
        <w:rPr>
          <w:rFonts w:cs="Times New Roman"/>
          <w:sz w:val="18"/>
          <w:szCs w:val="18"/>
        </w:rPr>
        <w:t>approved by the IRS</w:t>
      </w:r>
      <w:r w:rsidR="002115EE" w:rsidRPr="0068133F">
        <w:rPr>
          <w:rFonts w:cs="Times New Roman"/>
          <w:sz w:val="18"/>
          <w:szCs w:val="18"/>
        </w:rPr>
        <w:t xml:space="preserve">, and the IRS had demonstrated </w:t>
      </w:r>
      <w:r w:rsidRPr="0068133F">
        <w:rPr>
          <w:rFonts w:cs="Times New Roman"/>
          <w:sz w:val="18"/>
          <w:szCs w:val="18"/>
        </w:rPr>
        <w:t xml:space="preserve">an unwillingness to grant approval where there </w:t>
      </w:r>
      <w:r w:rsidR="008E2AC8" w:rsidRPr="0068133F">
        <w:rPr>
          <w:rFonts w:cs="Times New Roman"/>
          <w:sz w:val="18"/>
          <w:szCs w:val="18"/>
        </w:rPr>
        <w:t xml:space="preserve">were </w:t>
      </w:r>
      <w:r w:rsidRPr="0068133F">
        <w:rPr>
          <w:rFonts w:cs="Times New Roman"/>
          <w:sz w:val="18"/>
          <w:szCs w:val="18"/>
        </w:rPr>
        <w:t>a large amount of earnings accumulated in a foreign corporation.</w:t>
      </w:r>
    </w:p>
  </w:footnote>
  <w:footnote w:id="26">
    <w:p w14:paraId="69A51387" w14:textId="6DCC56A7" w:rsidR="005D6F11" w:rsidRPr="0068133F" w:rsidRDefault="005D6F11"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1E0C52" w:rsidRPr="0068133F">
        <w:rPr>
          <w:rFonts w:cs="Times New Roman"/>
          <w:sz w:val="18"/>
          <w:szCs w:val="18"/>
        </w:rPr>
        <w:t>Code Sec.</w:t>
      </w:r>
      <w:r w:rsidRPr="0068133F">
        <w:rPr>
          <w:rFonts w:cs="Times New Roman"/>
          <w:sz w:val="18"/>
          <w:szCs w:val="18"/>
        </w:rPr>
        <w:t xml:space="preserve"> 1248(a)</w:t>
      </w:r>
      <w:r w:rsidR="0049684C" w:rsidRPr="0068133F">
        <w:rPr>
          <w:rFonts w:cs="Times New Roman"/>
          <w:sz w:val="18"/>
          <w:szCs w:val="18"/>
        </w:rPr>
        <w:t xml:space="preserve"> and Reg. §1.1248-1(a)(2).</w:t>
      </w:r>
    </w:p>
  </w:footnote>
  <w:footnote w:id="27">
    <w:p w14:paraId="76D1102C" w14:textId="189525B5" w:rsidR="00994770" w:rsidRPr="0068133F" w:rsidRDefault="00994770"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959(e).</w:t>
      </w:r>
    </w:p>
  </w:footnote>
  <w:footnote w:id="28">
    <w:p w14:paraId="15E601F9" w14:textId="38B41987" w:rsidR="0037056E" w:rsidRPr="0068133F" w:rsidRDefault="0037056E"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E41B0F" w:rsidRPr="0068133F">
        <w:rPr>
          <w:rFonts w:cs="Times New Roman"/>
          <w:sz w:val="18"/>
          <w:szCs w:val="18"/>
        </w:rPr>
        <w:t>Code Sec. 964(e)</w:t>
      </w:r>
      <w:r w:rsidR="00A5108A">
        <w:rPr>
          <w:rFonts w:cs="Times New Roman"/>
          <w:sz w:val="18"/>
          <w:szCs w:val="18"/>
        </w:rPr>
        <w:t>.</w:t>
      </w:r>
    </w:p>
  </w:footnote>
  <w:footnote w:id="29">
    <w:p w14:paraId="1C17107F" w14:textId="7F6D5962" w:rsidR="00E87345" w:rsidRPr="0068133F" w:rsidRDefault="00E8734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1248</w:t>
      </w:r>
      <w:r w:rsidR="0074066F" w:rsidRPr="0068133F">
        <w:rPr>
          <w:rFonts w:cs="Times New Roman"/>
          <w:sz w:val="18"/>
          <w:szCs w:val="18"/>
        </w:rPr>
        <w:t>(a) and (</w:t>
      </w:r>
      <w:r w:rsidRPr="0068133F">
        <w:rPr>
          <w:rFonts w:cs="Times New Roman"/>
          <w:sz w:val="18"/>
          <w:szCs w:val="18"/>
        </w:rPr>
        <w:t>d).</w:t>
      </w:r>
    </w:p>
  </w:footnote>
  <w:footnote w:id="30">
    <w:p w14:paraId="522B55AD" w14:textId="19616CA0" w:rsidR="00F34618" w:rsidRPr="0068133F" w:rsidRDefault="00F34618"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1248(c)(2).</w:t>
      </w:r>
    </w:p>
  </w:footnote>
  <w:footnote w:id="31">
    <w:p w14:paraId="517DF24D" w14:textId="55EAB9BC" w:rsidR="00150CB2" w:rsidRPr="0068133F" w:rsidRDefault="00150CB2"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1E0C52" w:rsidRPr="0068133F">
        <w:rPr>
          <w:rFonts w:cs="Times New Roman"/>
          <w:sz w:val="18"/>
          <w:szCs w:val="18"/>
        </w:rPr>
        <w:t>Reg §</w:t>
      </w:r>
      <w:r w:rsidRPr="0068133F">
        <w:rPr>
          <w:rFonts w:cs="Times New Roman"/>
          <w:sz w:val="18"/>
          <w:szCs w:val="18"/>
        </w:rPr>
        <w:t xml:space="preserve">1.1248-2(e)(1). </w:t>
      </w:r>
    </w:p>
  </w:footnote>
  <w:footnote w:id="32">
    <w:p w14:paraId="696427F4" w14:textId="1977DCCD" w:rsidR="00C4413A" w:rsidRPr="0068133F" w:rsidRDefault="00C4413A"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0F7161" w:rsidRPr="0068133F">
        <w:rPr>
          <w:rFonts w:cs="Times New Roman"/>
          <w:sz w:val="18"/>
          <w:szCs w:val="18"/>
        </w:rPr>
        <w:t>Oddly, the temporary regulations (discussed below) did use</w:t>
      </w:r>
      <w:r w:rsidR="00CC0509" w:rsidRPr="0068133F">
        <w:rPr>
          <w:rFonts w:cs="Times New Roman"/>
          <w:sz w:val="18"/>
          <w:szCs w:val="18"/>
        </w:rPr>
        <w:t xml:space="preserve"> the term</w:t>
      </w:r>
      <w:r w:rsidR="000F7161" w:rsidRPr="0068133F">
        <w:rPr>
          <w:rFonts w:cs="Times New Roman"/>
          <w:sz w:val="18"/>
          <w:szCs w:val="18"/>
        </w:rPr>
        <w:t xml:space="preserve"> “U.S. shareholder”</w:t>
      </w:r>
      <w:r w:rsidR="00CC0509" w:rsidRPr="0068133F">
        <w:rPr>
          <w:rFonts w:cs="Times New Roman"/>
          <w:sz w:val="18"/>
          <w:szCs w:val="18"/>
        </w:rPr>
        <w:t xml:space="preserve"> extensively</w:t>
      </w:r>
      <w:r w:rsidR="000F7161" w:rsidRPr="0068133F">
        <w:rPr>
          <w:rFonts w:cs="Times New Roman"/>
          <w:sz w:val="18"/>
          <w:szCs w:val="18"/>
        </w:rPr>
        <w:t xml:space="preserve"> </w:t>
      </w:r>
      <w:r w:rsidR="002D68C2" w:rsidRPr="0068133F">
        <w:rPr>
          <w:rFonts w:cs="Times New Roman"/>
          <w:sz w:val="18"/>
          <w:szCs w:val="18"/>
        </w:rPr>
        <w:t xml:space="preserve">but defined </w:t>
      </w:r>
      <w:r w:rsidR="00CC0509" w:rsidRPr="0068133F">
        <w:rPr>
          <w:rFonts w:cs="Times New Roman"/>
          <w:sz w:val="18"/>
          <w:szCs w:val="18"/>
        </w:rPr>
        <w:t>it</w:t>
      </w:r>
      <w:r w:rsidR="002D68C2" w:rsidRPr="0068133F">
        <w:rPr>
          <w:rFonts w:cs="Times New Roman"/>
          <w:sz w:val="18"/>
          <w:szCs w:val="18"/>
        </w:rPr>
        <w:t xml:space="preserve"> to mean “any United States person who satisfies the ownership requirements of </w:t>
      </w:r>
      <w:r w:rsidR="002D68C2" w:rsidRPr="0068133F" w:rsidDel="00CC0509">
        <w:rPr>
          <w:rFonts w:cs="Times New Roman"/>
          <w:sz w:val="18"/>
          <w:szCs w:val="18"/>
        </w:rPr>
        <w:t xml:space="preserve">section </w:t>
      </w:r>
      <w:r w:rsidR="002D68C2" w:rsidRPr="0068133F">
        <w:rPr>
          <w:rFonts w:cs="Times New Roman"/>
          <w:sz w:val="18"/>
          <w:szCs w:val="18"/>
        </w:rPr>
        <w:t xml:space="preserve">1248(a)(2) or of </w:t>
      </w:r>
      <w:r w:rsidR="002D68C2" w:rsidRPr="0068133F" w:rsidDel="00CC0509">
        <w:rPr>
          <w:rFonts w:cs="Times New Roman"/>
          <w:sz w:val="18"/>
          <w:szCs w:val="18"/>
        </w:rPr>
        <w:t xml:space="preserve">section </w:t>
      </w:r>
      <w:r w:rsidR="002D68C2" w:rsidRPr="0068133F">
        <w:rPr>
          <w:rFonts w:cs="Times New Roman"/>
          <w:sz w:val="18"/>
          <w:szCs w:val="18"/>
        </w:rPr>
        <w:t>1248(c)(2) with respect to a foreign corporation” (</w:t>
      </w:r>
      <w:r w:rsidR="002D68C2" w:rsidRPr="0068133F">
        <w:rPr>
          <w:rFonts w:cs="Times New Roman"/>
          <w:i/>
          <w:iCs/>
          <w:sz w:val="18"/>
          <w:szCs w:val="18"/>
        </w:rPr>
        <w:t>i.e.</w:t>
      </w:r>
      <w:r w:rsidR="002D68C2" w:rsidRPr="0068133F">
        <w:rPr>
          <w:rFonts w:cs="Times New Roman"/>
          <w:sz w:val="18"/>
          <w:szCs w:val="18"/>
        </w:rPr>
        <w:t xml:space="preserve">, a 1248 shareholder). </w:t>
      </w:r>
      <w:r w:rsidR="002D68C2" w:rsidRPr="0068133F">
        <w:rPr>
          <w:rFonts w:cs="Times New Roman"/>
          <w:i/>
          <w:iCs/>
          <w:sz w:val="18"/>
          <w:szCs w:val="18"/>
        </w:rPr>
        <w:t xml:space="preserve">See </w:t>
      </w:r>
      <w:r w:rsidR="00566399" w:rsidRPr="0068133F">
        <w:rPr>
          <w:rFonts w:cs="Times New Roman"/>
          <w:sz w:val="18"/>
          <w:szCs w:val="18"/>
        </w:rPr>
        <w:t>Reg.</w:t>
      </w:r>
      <w:r w:rsidR="002D68C2" w:rsidRPr="0068133F">
        <w:rPr>
          <w:rFonts w:cs="Times New Roman"/>
          <w:sz w:val="18"/>
          <w:szCs w:val="18"/>
        </w:rPr>
        <w:t xml:space="preserve"> </w:t>
      </w:r>
      <w:r w:rsidR="009E1855" w:rsidRPr="0068133F">
        <w:rPr>
          <w:rFonts w:cs="Times New Roman"/>
          <w:sz w:val="18"/>
          <w:szCs w:val="18"/>
        </w:rPr>
        <w:t>§7.367(b)-2T(b).</w:t>
      </w:r>
    </w:p>
  </w:footnote>
  <w:footnote w:id="33">
    <w:p w14:paraId="0A81317B" w14:textId="2395D8E6" w:rsidR="00EF5075" w:rsidRPr="0068133F" w:rsidRDefault="00EF5075"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Pub</w:t>
      </w:r>
      <w:r w:rsidR="00CE5B05" w:rsidRPr="0068133F">
        <w:rPr>
          <w:rFonts w:cs="Times New Roman"/>
          <w:sz w:val="18"/>
          <w:szCs w:val="18"/>
        </w:rPr>
        <w:t xml:space="preserve">. </w:t>
      </w:r>
      <w:r w:rsidRPr="0068133F">
        <w:rPr>
          <w:rFonts w:cs="Times New Roman"/>
          <w:sz w:val="18"/>
          <w:szCs w:val="18"/>
        </w:rPr>
        <w:t>L</w:t>
      </w:r>
      <w:r w:rsidR="00CE5B05" w:rsidRPr="0068133F">
        <w:rPr>
          <w:rFonts w:cs="Times New Roman"/>
          <w:sz w:val="18"/>
          <w:szCs w:val="18"/>
        </w:rPr>
        <w:t>. No.</w:t>
      </w:r>
      <w:r w:rsidRPr="0068133F">
        <w:rPr>
          <w:rFonts w:cs="Times New Roman"/>
          <w:sz w:val="18"/>
          <w:szCs w:val="18"/>
        </w:rPr>
        <w:t xml:space="preserve"> 72-154</w:t>
      </w:r>
      <w:r w:rsidR="00A74B6D" w:rsidRPr="0068133F">
        <w:rPr>
          <w:rFonts w:cs="Times New Roman"/>
          <w:sz w:val="18"/>
          <w:szCs w:val="18"/>
        </w:rPr>
        <w:t xml:space="preserve">, </w:t>
      </w:r>
      <w:r w:rsidR="00866EF5" w:rsidRPr="0068133F">
        <w:rPr>
          <w:rFonts w:cs="Times New Roman"/>
          <w:sz w:val="18"/>
          <w:szCs w:val="18"/>
        </w:rPr>
        <w:t xml:space="preserve">47 Stat. 169 </w:t>
      </w:r>
      <w:r w:rsidRPr="0068133F">
        <w:rPr>
          <w:rFonts w:cs="Times New Roman"/>
          <w:sz w:val="18"/>
          <w:szCs w:val="18"/>
        </w:rPr>
        <w:t>(1932).</w:t>
      </w:r>
    </w:p>
  </w:footnote>
  <w:footnote w:id="34">
    <w:p w14:paraId="6E060E4F" w14:textId="5B3B88C8" w:rsidR="00E05FD0" w:rsidRPr="0068133F" w:rsidRDefault="00E05FD0"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62379F" w:rsidRPr="0068133F">
        <w:rPr>
          <w:rFonts w:cs="Times New Roman"/>
          <w:i/>
          <w:iCs/>
          <w:sz w:val="18"/>
          <w:szCs w:val="18"/>
        </w:rPr>
        <w:t xml:space="preserve">See </w:t>
      </w:r>
      <w:r w:rsidR="0062379F" w:rsidRPr="0068133F">
        <w:rPr>
          <w:rFonts w:cs="Times New Roman"/>
          <w:sz w:val="18"/>
          <w:szCs w:val="18"/>
        </w:rPr>
        <w:t>H.R. Rep. No. 72-708, at 20 (1932) (“Property may be transferred to foreign corporations without recognition of gain under the exchange and reorganization sections of the existing law. This constitutes a serious loophole for avoidance of taxes. Taxpayers having large unrealized profits in securities may transfer such securities to corporations organized in countries imposing no tax upon the sale of capital assets. Then, by subsequent sale of these assets in the foreign country, the entire tax upon the capital gain is avoided.”)</w:t>
      </w:r>
    </w:p>
  </w:footnote>
  <w:footnote w:id="35">
    <w:p w14:paraId="38EA2CB3" w14:textId="63212A70" w:rsidR="00D02BAE" w:rsidRPr="0068133F" w:rsidRDefault="00D02BAE"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Pub</w:t>
      </w:r>
      <w:r w:rsidR="00887331" w:rsidRPr="0068133F">
        <w:rPr>
          <w:rFonts w:cs="Times New Roman"/>
          <w:sz w:val="18"/>
          <w:szCs w:val="18"/>
        </w:rPr>
        <w:t xml:space="preserve">. </w:t>
      </w:r>
      <w:r w:rsidRPr="0068133F">
        <w:rPr>
          <w:rFonts w:cs="Times New Roman"/>
          <w:sz w:val="18"/>
          <w:szCs w:val="18"/>
        </w:rPr>
        <w:t>L</w:t>
      </w:r>
      <w:r w:rsidR="00887331" w:rsidRPr="0068133F">
        <w:rPr>
          <w:rFonts w:cs="Times New Roman"/>
          <w:sz w:val="18"/>
          <w:szCs w:val="18"/>
        </w:rPr>
        <w:t>. No.</w:t>
      </w:r>
      <w:r w:rsidRPr="0068133F">
        <w:rPr>
          <w:rFonts w:cs="Times New Roman"/>
          <w:sz w:val="18"/>
          <w:szCs w:val="18"/>
        </w:rPr>
        <w:t xml:space="preserve"> 83-591</w:t>
      </w:r>
      <w:r w:rsidR="00887331" w:rsidRPr="0068133F">
        <w:rPr>
          <w:rFonts w:cs="Times New Roman"/>
          <w:sz w:val="18"/>
          <w:szCs w:val="18"/>
        </w:rPr>
        <w:t xml:space="preserve">, </w:t>
      </w:r>
      <w:r w:rsidR="00543912" w:rsidRPr="0068133F">
        <w:rPr>
          <w:rFonts w:cs="Times New Roman"/>
          <w:sz w:val="18"/>
          <w:szCs w:val="18"/>
        </w:rPr>
        <w:t>68A Stat. 1</w:t>
      </w:r>
      <w:r w:rsidRPr="0068133F">
        <w:rPr>
          <w:rFonts w:cs="Times New Roman"/>
          <w:sz w:val="18"/>
          <w:szCs w:val="18"/>
        </w:rPr>
        <w:t xml:space="preserve"> (1954).</w:t>
      </w:r>
    </w:p>
  </w:footnote>
  <w:footnote w:id="36">
    <w:p w14:paraId="0730CAA0" w14:textId="6B3B3D5E" w:rsidR="00D66DF0" w:rsidRPr="0068133F" w:rsidRDefault="00D66DF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3D3BA3" w:rsidRPr="0068133F">
        <w:rPr>
          <w:rFonts w:cs="Times New Roman"/>
          <w:sz w:val="18"/>
          <w:szCs w:val="18"/>
        </w:rPr>
        <w:t xml:space="preserve">Rev. Proc. 1968-23, </w:t>
      </w:r>
      <w:r w:rsidR="00294EDF" w:rsidRPr="0068133F">
        <w:rPr>
          <w:rFonts w:cs="Times New Roman"/>
          <w:sz w:val="18"/>
          <w:szCs w:val="18"/>
        </w:rPr>
        <w:t>1968-1 C.B. 821.</w:t>
      </w:r>
    </w:p>
  </w:footnote>
  <w:footnote w:id="37">
    <w:p w14:paraId="6FC4E6E4" w14:textId="70EF99D2" w:rsidR="00D87A27" w:rsidRPr="0068133F" w:rsidRDefault="00D87A27"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F64452" w:rsidRPr="0068133F">
        <w:rPr>
          <w:rFonts w:cs="Times New Roman"/>
          <w:sz w:val="18"/>
          <w:szCs w:val="18"/>
        </w:rPr>
        <w:t>For purposes of determining the portion of the E&amp;P of a foreign corporation properly attributable to stock in such foreign corporation owned by a U.S. person and the manner in which such portion is includible in the gross income of a US person, the rules of Code Sec. 1248(a) and (b) and the regulations thereunder generally apply</w:t>
      </w:r>
      <w:r w:rsidR="00A86FC8" w:rsidRPr="0068133F">
        <w:rPr>
          <w:rFonts w:cs="Times New Roman"/>
          <w:sz w:val="18"/>
          <w:szCs w:val="18"/>
        </w:rPr>
        <w:t xml:space="preserve">. </w:t>
      </w:r>
      <w:r w:rsidRPr="0068133F">
        <w:rPr>
          <w:rFonts w:cs="Times New Roman"/>
          <w:sz w:val="18"/>
          <w:szCs w:val="18"/>
        </w:rPr>
        <w:t>Guidelines, §4.01</w:t>
      </w:r>
      <w:r w:rsidR="00F64452" w:rsidRPr="0068133F">
        <w:rPr>
          <w:rFonts w:cs="Times New Roman"/>
          <w:sz w:val="18"/>
          <w:szCs w:val="18"/>
        </w:rPr>
        <w:t>.</w:t>
      </w:r>
    </w:p>
  </w:footnote>
  <w:footnote w:id="38">
    <w:p w14:paraId="686735C3" w14:textId="20F2C5DE" w:rsidR="00061FA5" w:rsidRPr="0068133F" w:rsidRDefault="00061FA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BF69E3" w:rsidRPr="0068133F">
        <w:rPr>
          <w:rFonts w:cs="Times New Roman"/>
          <w:i/>
          <w:iCs/>
          <w:sz w:val="18"/>
          <w:szCs w:val="18"/>
        </w:rPr>
        <w:t>Id.</w:t>
      </w:r>
      <w:r w:rsidRPr="0068133F">
        <w:rPr>
          <w:rFonts w:cs="Times New Roman"/>
          <w:sz w:val="18"/>
          <w:szCs w:val="18"/>
        </w:rPr>
        <w:t>, §3.01(1).</w:t>
      </w:r>
    </w:p>
  </w:footnote>
  <w:footnote w:id="39">
    <w:p w14:paraId="7B3DE268" w14:textId="6B120F87" w:rsidR="00061FA5" w:rsidRPr="0068133F" w:rsidRDefault="00061FA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iCs/>
          <w:sz w:val="18"/>
          <w:szCs w:val="18"/>
        </w:rPr>
        <w:t>Id</w:t>
      </w:r>
      <w:r w:rsidR="00BF69E3" w:rsidRPr="0068133F">
        <w:rPr>
          <w:rFonts w:cs="Times New Roman"/>
          <w:i/>
          <w:iCs/>
          <w:sz w:val="18"/>
          <w:szCs w:val="18"/>
        </w:rPr>
        <w:t>.</w:t>
      </w:r>
      <w:r w:rsidRPr="0068133F">
        <w:rPr>
          <w:rFonts w:cs="Times New Roman"/>
          <w:sz w:val="18"/>
          <w:szCs w:val="18"/>
        </w:rPr>
        <w:t>, §3.03(1)(b).</w:t>
      </w:r>
    </w:p>
  </w:footnote>
  <w:footnote w:id="40">
    <w:p w14:paraId="2B41FD18" w14:textId="56415E51" w:rsidR="00061FA5" w:rsidRPr="0068133F" w:rsidRDefault="00061FA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iCs/>
          <w:sz w:val="18"/>
          <w:szCs w:val="18"/>
        </w:rPr>
        <w:t>Id</w:t>
      </w:r>
      <w:r w:rsidR="00BF69E3" w:rsidRPr="0068133F">
        <w:rPr>
          <w:rFonts w:cs="Times New Roman"/>
          <w:i/>
          <w:iCs/>
          <w:sz w:val="18"/>
          <w:szCs w:val="18"/>
        </w:rPr>
        <w:t>.</w:t>
      </w:r>
      <w:r w:rsidRPr="0068133F">
        <w:rPr>
          <w:rFonts w:cs="Times New Roman"/>
          <w:sz w:val="18"/>
          <w:szCs w:val="18"/>
        </w:rPr>
        <w:t>, §3.03(1)(e).</w:t>
      </w:r>
    </w:p>
  </w:footnote>
  <w:footnote w:id="41">
    <w:p w14:paraId="64B58654" w14:textId="276E0540" w:rsidR="00B474D2" w:rsidRPr="0068133F" w:rsidRDefault="00B474D2"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iCs/>
          <w:sz w:val="18"/>
          <w:szCs w:val="18"/>
        </w:rPr>
        <w:t>Id</w:t>
      </w:r>
      <w:r w:rsidR="00BF69E3" w:rsidRPr="0068133F">
        <w:rPr>
          <w:rFonts w:cs="Times New Roman"/>
          <w:i/>
          <w:iCs/>
          <w:sz w:val="18"/>
          <w:szCs w:val="18"/>
        </w:rPr>
        <w:t>.</w:t>
      </w:r>
      <w:r w:rsidRPr="0068133F">
        <w:rPr>
          <w:rFonts w:cs="Times New Roman"/>
          <w:sz w:val="18"/>
          <w:szCs w:val="18"/>
        </w:rPr>
        <w:t>, §</w:t>
      </w:r>
      <w:r w:rsidR="00526393" w:rsidRPr="0068133F">
        <w:rPr>
          <w:rFonts w:cs="Times New Roman"/>
          <w:sz w:val="18"/>
          <w:szCs w:val="18"/>
        </w:rPr>
        <w:t>3.03(1)(c).</w:t>
      </w:r>
    </w:p>
  </w:footnote>
  <w:footnote w:id="42">
    <w:p w14:paraId="37A336D7" w14:textId="47170509" w:rsidR="00FC21C9" w:rsidRPr="0068133F" w:rsidRDefault="00FC21C9"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iCs/>
          <w:sz w:val="18"/>
          <w:szCs w:val="18"/>
        </w:rPr>
        <w:t>Id</w:t>
      </w:r>
      <w:r w:rsidR="005F2FD1" w:rsidRPr="0068133F">
        <w:rPr>
          <w:rFonts w:cs="Times New Roman"/>
          <w:i/>
          <w:iCs/>
          <w:sz w:val="18"/>
          <w:szCs w:val="18"/>
        </w:rPr>
        <w:t>.</w:t>
      </w:r>
      <w:r w:rsidRPr="0068133F">
        <w:rPr>
          <w:rFonts w:cs="Times New Roman"/>
          <w:sz w:val="18"/>
          <w:szCs w:val="18"/>
        </w:rPr>
        <w:t>, §3.03(1)(f).</w:t>
      </w:r>
    </w:p>
  </w:footnote>
  <w:footnote w:id="43">
    <w:p w14:paraId="0316CE05" w14:textId="05B6A5B3" w:rsidR="00964180" w:rsidRPr="0068133F" w:rsidRDefault="0096418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iCs/>
          <w:sz w:val="18"/>
          <w:szCs w:val="18"/>
        </w:rPr>
        <w:t>Id</w:t>
      </w:r>
      <w:r w:rsidR="005F2FD1" w:rsidRPr="0068133F">
        <w:rPr>
          <w:rFonts w:cs="Times New Roman"/>
          <w:i/>
          <w:iCs/>
          <w:sz w:val="18"/>
          <w:szCs w:val="18"/>
        </w:rPr>
        <w:t>.</w:t>
      </w:r>
      <w:r w:rsidRPr="0068133F">
        <w:rPr>
          <w:rFonts w:cs="Times New Roman"/>
          <w:sz w:val="18"/>
          <w:szCs w:val="18"/>
        </w:rPr>
        <w:t>, §3.03(1)(g).</w:t>
      </w:r>
    </w:p>
  </w:footnote>
  <w:footnote w:id="44">
    <w:p w14:paraId="3CC4F403" w14:textId="7C3D1BFF" w:rsidR="00963F3D" w:rsidRPr="0068133F" w:rsidRDefault="00963F3D"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B7FDC" w:rsidRPr="0068133F">
        <w:rPr>
          <w:rFonts w:cs="Times New Roman"/>
          <w:sz w:val="18"/>
          <w:szCs w:val="18"/>
        </w:rPr>
        <w:t xml:space="preserve">The reference to “all” in the guidelines assumedly means </w:t>
      </w:r>
      <w:r w:rsidR="000A22F2" w:rsidRPr="0068133F">
        <w:rPr>
          <w:rFonts w:cs="Times New Roman"/>
          <w:sz w:val="18"/>
          <w:szCs w:val="18"/>
        </w:rPr>
        <w:t xml:space="preserve">that E&amp;P for this purpose includes E&amp;P generated before December 31, 1962, </w:t>
      </w:r>
      <w:r w:rsidR="0032133D" w:rsidRPr="0068133F">
        <w:rPr>
          <w:rFonts w:cs="Times New Roman"/>
          <w:sz w:val="18"/>
          <w:szCs w:val="18"/>
        </w:rPr>
        <w:t>and likely also includes E&amp;P generated before the foreign corporation was a CFC and the shareholder was a 1248 shareholder.</w:t>
      </w:r>
    </w:p>
  </w:footnote>
  <w:footnote w:id="45">
    <w:p w14:paraId="7F5EE1AE" w14:textId="55A92260" w:rsidR="00146E5B" w:rsidRPr="0068133F" w:rsidRDefault="00146E5B"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The </w:t>
      </w:r>
      <w:r w:rsidR="009F2200" w:rsidRPr="0068133F">
        <w:rPr>
          <w:rFonts w:cs="Times New Roman"/>
          <w:sz w:val="18"/>
          <w:szCs w:val="18"/>
        </w:rPr>
        <w:t>guidelines</w:t>
      </w:r>
      <w:r w:rsidRPr="0068133F">
        <w:rPr>
          <w:rFonts w:cs="Times New Roman"/>
          <w:sz w:val="18"/>
          <w:szCs w:val="18"/>
        </w:rPr>
        <w:t xml:space="preserve"> provide that, for purposes of determining the amount included in a foreign-to-foreign </w:t>
      </w:r>
      <w:r w:rsidR="00C41646" w:rsidRPr="0068133F">
        <w:rPr>
          <w:rFonts w:cs="Times New Roman"/>
          <w:sz w:val="18"/>
          <w:szCs w:val="18"/>
        </w:rPr>
        <w:t>reorganizations</w:t>
      </w:r>
      <w:r w:rsidR="00922F97" w:rsidRPr="0068133F">
        <w:rPr>
          <w:rFonts w:cs="Times New Roman"/>
          <w:sz w:val="18"/>
          <w:szCs w:val="18"/>
        </w:rPr>
        <w:t>,</w:t>
      </w:r>
      <w:r w:rsidRPr="0068133F">
        <w:rPr>
          <w:rFonts w:cs="Times New Roman"/>
          <w:sz w:val="18"/>
          <w:szCs w:val="18"/>
        </w:rPr>
        <w:t xml:space="preserve"> the E&amp;P of foreign subsidiaries described in Code Sec. 1248(c)(2) are taken into account. </w:t>
      </w:r>
      <w:r w:rsidR="00C41646" w:rsidRPr="0068133F">
        <w:rPr>
          <w:rFonts w:cs="Times New Roman"/>
          <w:i/>
          <w:iCs/>
          <w:sz w:val="18"/>
          <w:szCs w:val="18"/>
        </w:rPr>
        <w:t xml:space="preserve">See </w:t>
      </w:r>
      <w:r w:rsidR="005F2FD1" w:rsidRPr="0068133F">
        <w:rPr>
          <w:rFonts w:cs="Times New Roman"/>
          <w:sz w:val="18"/>
          <w:szCs w:val="18"/>
        </w:rPr>
        <w:t>Guidelines</w:t>
      </w:r>
      <w:r w:rsidR="005F2FD1" w:rsidRPr="0068133F">
        <w:rPr>
          <w:rFonts w:cs="Times New Roman"/>
          <w:i/>
          <w:iCs/>
          <w:sz w:val="18"/>
          <w:szCs w:val="18"/>
        </w:rPr>
        <w:t xml:space="preserve"> </w:t>
      </w:r>
      <w:r w:rsidR="00C41646" w:rsidRPr="0068133F">
        <w:rPr>
          <w:rFonts w:cs="Times New Roman"/>
          <w:sz w:val="18"/>
          <w:szCs w:val="18"/>
        </w:rPr>
        <w:t xml:space="preserve">§4.01. </w:t>
      </w:r>
      <w:r w:rsidRPr="0068133F">
        <w:rPr>
          <w:rFonts w:cs="Times New Roman"/>
          <w:sz w:val="18"/>
          <w:szCs w:val="18"/>
        </w:rPr>
        <w:t xml:space="preserve">The implication is that such E&amp;P is not taken into account in determining the E&amp;P of a foreign corporation includible in </w:t>
      </w:r>
      <w:r w:rsidR="00922F97" w:rsidRPr="0068133F">
        <w:rPr>
          <w:rFonts w:cs="Times New Roman"/>
          <w:sz w:val="18"/>
          <w:szCs w:val="18"/>
        </w:rPr>
        <w:t>a</w:t>
      </w:r>
      <w:r w:rsidR="005F2FD1" w:rsidRPr="0068133F">
        <w:rPr>
          <w:rFonts w:cs="Times New Roman"/>
          <w:sz w:val="18"/>
          <w:szCs w:val="18"/>
        </w:rPr>
        <w:t>n</w:t>
      </w:r>
      <w:r w:rsidR="00922F97" w:rsidRPr="0068133F">
        <w:rPr>
          <w:rFonts w:cs="Times New Roman"/>
          <w:sz w:val="18"/>
          <w:szCs w:val="18"/>
        </w:rPr>
        <w:t xml:space="preserve"> </w:t>
      </w:r>
      <w:r w:rsidR="006B63C2" w:rsidRPr="0068133F">
        <w:rPr>
          <w:rFonts w:cs="Times New Roman"/>
          <w:sz w:val="18"/>
          <w:szCs w:val="18"/>
        </w:rPr>
        <w:t>inbound nonrecognition transaction.</w:t>
      </w:r>
    </w:p>
  </w:footnote>
  <w:footnote w:id="46">
    <w:p w14:paraId="6E614954" w14:textId="53253EA6" w:rsidR="00121F1A" w:rsidRPr="0068133F" w:rsidRDefault="00121F1A"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iCs/>
          <w:sz w:val="18"/>
          <w:szCs w:val="18"/>
        </w:rPr>
        <w:t>Id.</w:t>
      </w:r>
      <w:r w:rsidRPr="0068133F">
        <w:rPr>
          <w:rFonts w:cs="Times New Roman"/>
          <w:sz w:val="18"/>
          <w:szCs w:val="18"/>
        </w:rPr>
        <w:t xml:space="preserve"> </w:t>
      </w:r>
      <w:r w:rsidR="00265432" w:rsidRPr="0068133F">
        <w:rPr>
          <w:rFonts w:cs="Times New Roman"/>
          <w:sz w:val="18"/>
          <w:szCs w:val="18"/>
        </w:rPr>
        <w:t>Thus</w:t>
      </w:r>
      <w:r w:rsidR="00D87A27" w:rsidRPr="0068133F">
        <w:rPr>
          <w:rFonts w:cs="Times New Roman"/>
          <w:sz w:val="18"/>
          <w:szCs w:val="18"/>
        </w:rPr>
        <w:t xml:space="preserve">, for such a shareholder, the dividend was an amalgam of the concept of a 1248 amount and an all E&amp;P amount – a 1248 amount but without regard to Code Sec. 1248(c)(2). </w:t>
      </w:r>
    </w:p>
  </w:footnote>
  <w:footnote w:id="47">
    <w:p w14:paraId="4CEAF7F3" w14:textId="0B82482D" w:rsidR="00EE093D" w:rsidRPr="0068133F" w:rsidRDefault="00EE093D"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However, if </w:t>
      </w:r>
      <w:r w:rsidR="0003067E" w:rsidRPr="0068133F">
        <w:rPr>
          <w:rFonts w:cs="Times New Roman"/>
          <w:sz w:val="18"/>
          <w:szCs w:val="18"/>
        </w:rPr>
        <w:t xml:space="preserve">a small </w:t>
      </w:r>
      <w:r w:rsidRPr="0068133F">
        <w:rPr>
          <w:rFonts w:cs="Times New Roman"/>
          <w:sz w:val="18"/>
          <w:szCs w:val="18"/>
        </w:rPr>
        <w:t>shareholder failed to obtain a</w:t>
      </w:r>
      <w:r w:rsidR="00EF6868" w:rsidRPr="0068133F">
        <w:rPr>
          <w:rFonts w:cs="Times New Roman"/>
          <w:sz w:val="18"/>
          <w:szCs w:val="18"/>
        </w:rPr>
        <w:t>n</w:t>
      </w:r>
      <w:r w:rsidRPr="0068133F">
        <w:rPr>
          <w:rFonts w:cs="Times New Roman"/>
          <w:sz w:val="18"/>
          <w:szCs w:val="18"/>
        </w:rPr>
        <w:t xml:space="preserve"> </w:t>
      </w:r>
      <w:r w:rsidR="00E31EE3" w:rsidRPr="0068133F">
        <w:rPr>
          <w:rFonts w:cs="Times New Roman"/>
          <w:sz w:val="18"/>
          <w:szCs w:val="18"/>
        </w:rPr>
        <w:t xml:space="preserve">advance ruling, including because one or more 1248 shareholders of the acquired foreign corporation refused to agree to </w:t>
      </w:r>
      <w:r w:rsidR="0003067E" w:rsidRPr="0068133F">
        <w:rPr>
          <w:rFonts w:cs="Times New Roman"/>
          <w:sz w:val="18"/>
          <w:szCs w:val="18"/>
        </w:rPr>
        <w:t xml:space="preserve">the “toll charge” required under the </w:t>
      </w:r>
      <w:r w:rsidR="009F2200" w:rsidRPr="0068133F">
        <w:rPr>
          <w:rFonts w:cs="Times New Roman"/>
          <w:sz w:val="18"/>
          <w:szCs w:val="18"/>
        </w:rPr>
        <w:t>guidelines</w:t>
      </w:r>
      <w:r w:rsidR="0003067E" w:rsidRPr="0068133F">
        <w:rPr>
          <w:rFonts w:cs="Times New Roman"/>
          <w:sz w:val="18"/>
          <w:szCs w:val="18"/>
        </w:rPr>
        <w:t xml:space="preserve">, it appears that such shareholder would </w:t>
      </w:r>
      <w:r w:rsidR="00D81402" w:rsidRPr="0068133F">
        <w:rPr>
          <w:rFonts w:cs="Times New Roman"/>
          <w:sz w:val="18"/>
          <w:szCs w:val="18"/>
        </w:rPr>
        <w:t xml:space="preserve">recognize gain under former </w:t>
      </w:r>
      <w:r w:rsidR="003B5573" w:rsidRPr="0068133F">
        <w:rPr>
          <w:rFonts w:cs="Times New Roman"/>
          <w:sz w:val="18"/>
          <w:szCs w:val="18"/>
        </w:rPr>
        <w:t xml:space="preserve">Code </w:t>
      </w:r>
      <w:r w:rsidR="00D81402" w:rsidRPr="0068133F">
        <w:rPr>
          <w:rFonts w:cs="Times New Roman"/>
          <w:sz w:val="18"/>
          <w:szCs w:val="18"/>
        </w:rPr>
        <w:t xml:space="preserve">Sec. 367. The inability for small shareholders to </w:t>
      </w:r>
      <w:r w:rsidR="003B5573" w:rsidRPr="0068133F">
        <w:rPr>
          <w:rFonts w:cs="Times New Roman"/>
          <w:sz w:val="18"/>
          <w:szCs w:val="18"/>
        </w:rPr>
        <w:t>avoid gain recognition</w:t>
      </w:r>
      <w:r w:rsidR="00D81402" w:rsidRPr="0068133F">
        <w:rPr>
          <w:rFonts w:cs="Times New Roman"/>
          <w:sz w:val="18"/>
          <w:szCs w:val="18"/>
        </w:rPr>
        <w:t xml:space="preserve"> </w:t>
      </w:r>
      <w:r w:rsidR="009F2200" w:rsidRPr="0068133F">
        <w:rPr>
          <w:rFonts w:cs="Times New Roman"/>
          <w:sz w:val="18"/>
          <w:szCs w:val="18"/>
        </w:rPr>
        <w:t xml:space="preserve">in such circumstances </w:t>
      </w:r>
      <w:r w:rsidR="00D81402" w:rsidRPr="0068133F">
        <w:rPr>
          <w:rFonts w:cs="Times New Roman"/>
          <w:sz w:val="18"/>
          <w:szCs w:val="18"/>
        </w:rPr>
        <w:t>appears to be</w:t>
      </w:r>
      <w:r w:rsidR="003B5573" w:rsidRPr="0068133F">
        <w:rPr>
          <w:rFonts w:cs="Times New Roman"/>
          <w:sz w:val="18"/>
          <w:szCs w:val="18"/>
        </w:rPr>
        <w:t xml:space="preserve"> one of the concerns </w:t>
      </w:r>
      <w:r w:rsidR="00654AB4" w:rsidRPr="0068133F">
        <w:rPr>
          <w:rFonts w:cs="Times New Roman"/>
          <w:sz w:val="18"/>
          <w:szCs w:val="18"/>
        </w:rPr>
        <w:t xml:space="preserve">motivating </w:t>
      </w:r>
      <w:r w:rsidR="003B5573" w:rsidRPr="0068133F">
        <w:rPr>
          <w:rFonts w:cs="Times New Roman"/>
          <w:sz w:val="18"/>
          <w:szCs w:val="18"/>
        </w:rPr>
        <w:t>th</w:t>
      </w:r>
      <w:r w:rsidR="009F2200" w:rsidRPr="0068133F">
        <w:rPr>
          <w:rFonts w:cs="Times New Roman"/>
          <w:sz w:val="18"/>
          <w:szCs w:val="18"/>
        </w:rPr>
        <w:t xml:space="preserve">e elimination of the advance ruling requirement </w:t>
      </w:r>
      <w:r w:rsidR="00CF77E2" w:rsidRPr="0068133F">
        <w:rPr>
          <w:rFonts w:cs="Times New Roman"/>
          <w:sz w:val="18"/>
          <w:szCs w:val="18"/>
        </w:rPr>
        <w:t xml:space="preserve">and the enactment of </w:t>
      </w:r>
      <w:r w:rsidR="003B5573" w:rsidRPr="0068133F">
        <w:rPr>
          <w:rFonts w:cs="Times New Roman"/>
          <w:sz w:val="18"/>
          <w:szCs w:val="18"/>
        </w:rPr>
        <w:t>Code Sec. 367</w:t>
      </w:r>
      <w:r w:rsidR="00CF77E2" w:rsidRPr="0068133F">
        <w:rPr>
          <w:rFonts w:cs="Times New Roman"/>
          <w:sz w:val="18"/>
          <w:szCs w:val="18"/>
        </w:rPr>
        <w:t>(b)</w:t>
      </w:r>
      <w:r w:rsidR="003B5573" w:rsidRPr="0068133F">
        <w:rPr>
          <w:rFonts w:cs="Times New Roman"/>
          <w:sz w:val="18"/>
          <w:szCs w:val="18"/>
        </w:rPr>
        <w:t>.</w:t>
      </w:r>
    </w:p>
  </w:footnote>
  <w:footnote w:id="48">
    <w:p w14:paraId="2E12EC73" w14:textId="78DFFE86" w:rsidR="00014521" w:rsidRPr="0068133F" w:rsidRDefault="0001452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H</w:t>
      </w:r>
      <w:r w:rsidR="001C184B" w:rsidRPr="0068133F">
        <w:rPr>
          <w:rFonts w:cs="Times New Roman"/>
          <w:sz w:val="18"/>
          <w:szCs w:val="18"/>
        </w:rPr>
        <w:t>.</w:t>
      </w:r>
      <w:r w:rsidR="00BC2D22" w:rsidRPr="0068133F">
        <w:rPr>
          <w:rFonts w:cs="Times New Roman"/>
          <w:sz w:val="18"/>
          <w:szCs w:val="18"/>
        </w:rPr>
        <w:t>R.</w:t>
      </w:r>
      <w:r w:rsidRPr="0068133F">
        <w:rPr>
          <w:rFonts w:cs="Times New Roman"/>
          <w:sz w:val="18"/>
          <w:szCs w:val="18"/>
        </w:rPr>
        <w:t xml:space="preserve"> Rep</w:t>
      </w:r>
      <w:r w:rsidR="001C184B" w:rsidRPr="0068133F">
        <w:rPr>
          <w:rFonts w:cs="Times New Roman"/>
          <w:sz w:val="18"/>
          <w:szCs w:val="18"/>
        </w:rPr>
        <w:t>. No.</w:t>
      </w:r>
      <w:r w:rsidRPr="0068133F">
        <w:rPr>
          <w:rFonts w:cs="Times New Roman"/>
          <w:sz w:val="18"/>
          <w:szCs w:val="18"/>
        </w:rPr>
        <w:t xml:space="preserve"> 94-658, </w:t>
      </w:r>
      <w:r w:rsidR="00D53DC2" w:rsidRPr="0068133F">
        <w:rPr>
          <w:rFonts w:cs="Times New Roman"/>
          <w:sz w:val="18"/>
          <w:szCs w:val="18"/>
        </w:rPr>
        <w:t xml:space="preserve">at </w:t>
      </w:r>
      <w:r w:rsidRPr="0068133F">
        <w:rPr>
          <w:rFonts w:cs="Times New Roman"/>
          <w:sz w:val="18"/>
          <w:szCs w:val="18"/>
        </w:rPr>
        <w:t>240 (197</w:t>
      </w:r>
      <w:r w:rsidR="00C00763" w:rsidRPr="0068133F">
        <w:rPr>
          <w:rFonts w:cs="Times New Roman"/>
          <w:sz w:val="18"/>
          <w:szCs w:val="18"/>
        </w:rPr>
        <w:t>5</w:t>
      </w:r>
      <w:r w:rsidRPr="0068133F">
        <w:rPr>
          <w:rFonts w:cs="Times New Roman"/>
          <w:sz w:val="18"/>
          <w:szCs w:val="18"/>
        </w:rPr>
        <w:t xml:space="preserve">). </w:t>
      </w:r>
    </w:p>
  </w:footnote>
  <w:footnote w:id="49">
    <w:p w14:paraId="0118327C" w14:textId="7937B365" w:rsidR="00C26C71" w:rsidRPr="0068133F" w:rsidRDefault="00C26C7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1F69B0" w:rsidRPr="0068133F">
        <w:rPr>
          <w:rFonts w:cs="Times New Roman"/>
          <w:i/>
          <w:iCs/>
          <w:sz w:val="18"/>
          <w:szCs w:val="18"/>
        </w:rPr>
        <w:t>Id.</w:t>
      </w:r>
      <w:r w:rsidR="001F69B0" w:rsidRPr="0068133F">
        <w:rPr>
          <w:rFonts w:cs="Times New Roman"/>
          <w:sz w:val="18"/>
          <w:szCs w:val="18"/>
        </w:rPr>
        <w:t xml:space="preserve"> </w:t>
      </w:r>
    </w:p>
  </w:footnote>
  <w:footnote w:id="50">
    <w:p w14:paraId="1ECEE6C8" w14:textId="714F5BB0" w:rsidR="00C26C71" w:rsidRPr="0068133F" w:rsidRDefault="00C26C7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847836" w:rsidRPr="0068133F">
        <w:rPr>
          <w:rFonts w:cs="Times New Roman"/>
          <w:i/>
          <w:iCs/>
          <w:sz w:val="18"/>
          <w:szCs w:val="18"/>
        </w:rPr>
        <w:t xml:space="preserve">Id. </w:t>
      </w:r>
      <w:r w:rsidR="00847836" w:rsidRPr="0068133F">
        <w:rPr>
          <w:rFonts w:cs="Times New Roman"/>
          <w:sz w:val="18"/>
          <w:szCs w:val="18"/>
        </w:rPr>
        <w:t xml:space="preserve">at 241. </w:t>
      </w:r>
    </w:p>
  </w:footnote>
  <w:footnote w:id="51">
    <w:p w14:paraId="33C864D7" w14:textId="76C17E92" w:rsidR="00D76A2E" w:rsidRPr="0068133F" w:rsidRDefault="00D76A2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444309" w:rsidRPr="0068133F">
        <w:rPr>
          <w:rFonts w:cs="Times New Roman"/>
          <w:sz w:val="18"/>
          <w:szCs w:val="18"/>
        </w:rPr>
        <w:t>Code Sec. 367(b)(1).</w:t>
      </w:r>
    </w:p>
  </w:footnote>
  <w:footnote w:id="52">
    <w:p w14:paraId="7227D77B" w14:textId="580002FE" w:rsidR="00770D41" w:rsidRPr="0068133F" w:rsidRDefault="00770D4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H</w:t>
      </w:r>
      <w:r w:rsidR="00D53DC2" w:rsidRPr="0068133F">
        <w:rPr>
          <w:rFonts w:cs="Times New Roman"/>
          <w:sz w:val="18"/>
          <w:szCs w:val="18"/>
        </w:rPr>
        <w:t>.</w:t>
      </w:r>
      <w:r w:rsidR="00BC2D22" w:rsidRPr="0068133F">
        <w:rPr>
          <w:rFonts w:cs="Times New Roman"/>
          <w:sz w:val="18"/>
          <w:szCs w:val="18"/>
        </w:rPr>
        <w:t>R.</w:t>
      </w:r>
      <w:r w:rsidR="00D53DC2" w:rsidRPr="0068133F">
        <w:rPr>
          <w:rFonts w:cs="Times New Roman"/>
          <w:sz w:val="18"/>
          <w:szCs w:val="18"/>
        </w:rPr>
        <w:t xml:space="preserve"> Rep.</w:t>
      </w:r>
      <w:r w:rsidR="00C30212" w:rsidRPr="0068133F">
        <w:rPr>
          <w:rFonts w:cs="Times New Roman"/>
          <w:sz w:val="18"/>
          <w:szCs w:val="18"/>
        </w:rPr>
        <w:t xml:space="preserve"> No.</w:t>
      </w:r>
      <w:r w:rsidRPr="0068133F">
        <w:rPr>
          <w:rFonts w:cs="Times New Roman"/>
          <w:sz w:val="18"/>
          <w:szCs w:val="18"/>
        </w:rPr>
        <w:t xml:space="preserve"> 94-658, at 241</w:t>
      </w:r>
      <w:r w:rsidR="00496236" w:rsidRPr="0068133F">
        <w:rPr>
          <w:rFonts w:cs="Times New Roman"/>
          <w:sz w:val="18"/>
          <w:szCs w:val="18"/>
        </w:rPr>
        <w:t xml:space="preserve"> (1975)</w:t>
      </w:r>
      <w:r w:rsidRPr="0068133F">
        <w:rPr>
          <w:rFonts w:cs="Times New Roman"/>
          <w:sz w:val="18"/>
          <w:szCs w:val="18"/>
        </w:rPr>
        <w:t>.</w:t>
      </w:r>
    </w:p>
  </w:footnote>
  <w:footnote w:id="53">
    <w:p w14:paraId="3AAF5006" w14:textId="29CA6348" w:rsidR="00FC1948" w:rsidRPr="0068133F" w:rsidRDefault="00FC1948"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T.D. 7530, 42 Fed. Reg. 65152 (Dec. 30, 1977).</w:t>
      </w:r>
    </w:p>
  </w:footnote>
  <w:footnote w:id="54">
    <w:p w14:paraId="4472819A" w14:textId="39C4CB20" w:rsidR="000D4AC1" w:rsidRPr="0068133F" w:rsidRDefault="000D4AC1" w:rsidP="00E15AEF">
      <w:pPr>
        <w:pStyle w:val="FootnoteText"/>
        <w:widowControl w:val="0"/>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The </w:t>
      </w:r>
      <w:r w:rsidR="00125992" w:rsidRPr="0068133F">
        <w:rPr>
          <w:rFonts w:cs="Times New Roman"/>
          <w:sz w:val="18"/>
          <w:szCs w:val="18"/>
        </w:rPr>
        <w:t xml:space="preserve">temporary regulations defined the </w:t>
      </w:r>
      <w:r w:rsidRPr="0068133F">
        <w:rPr>
          <w:rFonts w:cs="Times New Roman"/>
          <w:sz w:val="18"/>
          <w:szCs w:val="18"/>
        </w:rPr>
        <w:t>“all E&amp;P amount</w:t>
      </w:r>
      <w:r w:rsidR="00225072" w:rsidRPr="0068133F">
        <w:rPr>
          <w:rFonts w:cs="Times New Roman"/>
          <w:sz w:val="18"/>
          <w:szCs w:val="18"/>
        </w:rPr>
        <w:t>” as the E&amp;P or deficit in E&amp;P</w:t>
      </w:r>
      <w:r w:rsidR="00125992" w:rsidRPr="0068133F">
        <w:rPr>
          <w:rFonts w:cs="Times New Roman"/>
          <w:sz w:val="18"/>
          <w:szCs w:val="18"/>
        </w:rPr>
        <w:t xml:space="preserve"> for all taxable years which are attributable to the stock of the foreign corporation exchanged under the principles of </w:t>
      </w:r>
      <w:r w:rsidR="00225072" w:rsidRPr="0068133F">
        <w:rPr>
          <w:rFonts w:cs="Times New Roman"/>
          <w:sz w:val="18"/>
          <w:szCs w:val="18"/>
        </w:rPr>
        <w:t>Code Sec.</w:t>
      </w:r>
      <w:r w:rsidR="00125992" w:rsidRPr="0068133F">
        <w:rPr>
          <w:rFonts w:cs="Times New Roman"/>
          <w:sz w:val="18"/>
          <w:szCs w:val="18"/>
        </w:rPr>
        <w:t xml:space="preserve"> 1248</w:t>
      </w:r>
      <w:r w:rsidR="00225072" w:rsidRPr="0068133F">
        <w:rPr>
          <w:rFonts w:cs="Times New Roman"/>
          <w:sz w:val="18"/>
          <w:szCs w:val="18"/>
        </w:rPr>
        <w:t xml:space="preserve">, without regard to </w:t>
      </w:r>
      <w:r w:rsidR="008D345D" w:rsidRPr="0068133F">
        <w:rPr>
          <w:rFonts w:cs="Times New Roman"/>
          <w:sz w:val="18"/>
          <w:szCs w:val="18"/>
        </w:rPr>
        <w:t xml:space="preserve">(1) </w:t>
      </w:r>
      <w:r w:rsidR="00225072" w:rsidRPr="0068133F">
        <w:rPr>
          <w:rFonts w:cs="Times New Roman"/>
          <w:sz w:val="18"/>
          <w:szCs w:val="18"/>
        </w:rPr>
        <w:t xml:space="preserve">whether such E&amp;P </w:t>
      </w:r>
      <w:r w:rsidR="004D079A" w:rsidRPr="0068133F">
        <w:rPr>
          <w:rFonts w:cs="Times New Roman"/>
          <w:sz w:val="18"/>
          <w:szCs w:val="18"/>
        </w:rPr>
        <w:t xml:space="preserve">was </w:t>
      </w:r>
      <w:r w:rsidR="008D345D" w:rsidRPr="0068133F">
        <w:rPr>
          <w:rFonts w:cs="Times New Roman"/>
          <w:sz w:val="18"/>
          <w:szCs w:val="18"/>
        </w:rPr>
        <w:t>accumulated before or after December 31, 1962</w:t>
      </w:r>
      <w:r w:rsidR="008153EA" w:rsidRPr="0068133F">
        <w:rPr>
          <w:rFonts w:cs="Times New Roman"/>
          <w:sz w:val="18"/>
          <w:szCs w:val="18"/>
        </w:rPr>
        <w:t>,</w:t>
      </w:r>
      <w:r w:rsidR="008D345D" w:rsidRPr="0068133F">
        <w:rPr>
          <w:rFonts w:cs="Times New Roman"/>
          <w:sz w:val="18"/>
          <w:szCs w:val="18"/>
        </w:rPr>
        <w:t xml:space="preserve"> and (2) the E&amp;P of foreign subsidiaries under Code Sec. 1248(c)(2)</w:t>
      </w:r>
      <w:r w:rsidR="00B87049" w:rsidRPr="0068133F">
        <w:rPr>
          <w:rFonts w:cs="Times New Roman"/>
          <w:sz w:val="18"/>
          <w:szCs w:val="18"/>
        </w:rPr>
        <w:t>.</w:t>
      </w:r>
      <w:r w:rsidR="00F54E13" w:rsidRPr="0068133F">
        <w:rPr>
          <w:rFonts w:cs="Times New Roman"/>
          <w:sz w:val="18"/>
          <w:szCs w:val="18"/>
        </w:rPr>
        <w:t xml:space="preserve"> Reg. §7.367(b)-5T(</w:t>
      </w:r>
      <w:r w:rsidR="000B3326" w:rsidRPr="0068133F">
        <w:rPr>
          <w:rFonts w:cs="Times New Roman"/>
          <w:sz w:val="18"/>
          <w:szCs w:val="18"/>
        </w:rPr>
        <w:t>f) and (h)</w:t>
      </w:r>
      <w:r w:rsidR="00B57B22" w:rsidRPr="0068133F">
        <w:rPr>
          <w:rFonts w:cs="Times New Roman"/>
          <w:sz w:val="18"/>
          <w:szCs w:val="18"/>
        </w:rPr>
        <w:t>(1).</w:t>
      </w:r>
      <w:r w:rsidR="001B73AA" w:rsidRPr="0068133F">
        <w:rPr>
          <w:rFonts w:cs="Times New Roman"/>
          <w:sz w:val="18"/>
          <w:szCs w:val="18"/>
        </w:rPr>
        <w:t xml:space="preserve"> It is unclear whether E&amp;P for this purpose includes E&amp;P </w:t>
      </w:r>
      <w:r w:rsidR="001A2799" w:rsidRPr="0068133F">
        <w:rPr>
          <w:rFonts w:cs="Times New Roman"/>
          <w:sz w:val="18"/>
          <w:szCs w:val="18"/>
        </w:rPr>
        <w:t>accumulated by foreign corporations while not CFCs. On this point,</w:t>
      </w:r>
      <w:r w:rsidR="001B73AA" w:rsidRPr="0068133F">
        <w:rPr>
          <w:rFonts w:cs="Times New Roman"/>
          <w:sz w:val="18"/>
          <w:szCs w:val="18"/>
        </w:rPr>
        <w:t xml:space="preserve"> IRS guidance concluded that the all E&amp;P amount does not include E&amp;P accumulated in a period in which the foreign acquired corporation was not a CFC).</w:t>
      </w:r>
      <w:r w:rsidR="001B73AA" w:rsidRPr="0068133F">
        <w:rPr>
          <w:rFonts w:cs="Times New Roman"/>
          <w:i/>
          <w:iCs/>
          <w:sz w:val="18"/>
          <w:szCs w:val="18"/>
        </w:rPr>
        <w:t xml:space="preserve"> See, e.g. </w:t>
      </w:r>
      <w:r w:rsidR="001B73AA" w:rsidRPr="0068133F">
        <w:rPr>
          <w:rFonts w:cs="Times New Roman"/>
          <w:sz w:val="18"/>
          <w:szCs w:val="18"/>
        </w:rPr>
        <w:t>PLR 8924052 (Mar. 20, 1989</w:t>
      </w:r>
      <w:r w:rsidR="00574FE2" w:rsidRPr="0068133F">
        <w:rPr>
          <w:rFonts w:cs="Times New Roman"/>
          <w:sz w:val="18"/>
          <w:szCs w:val="18"/>
        </w:rPr>
        <w:t>)</w:t>
      </w:r>
      <w:r w:rsidR="001A2799" w:rsidRPr="0068133F">
        <w:rPr>
          <w:rFonts w:cs="Times New Roman"/>
          <w:sz w:val="18"/>
          <w:szCs w:val="18"/>
        </w:rPr>
        <w:t xml:space="preserve">. Nonetheless, when the proposed regulations </w:t>
      </w:r>
      <w:r w:rsidR="00E83D1E" w:rsidRPr="0068133F">
        <w:rPr>
          <w:rFonts w:cs="Times New Roman"/>
          <w:sz w:val="18"/>
          <w:szCs w:val="18"/>
        </w:rPr>
        <w:t xml:space="preserve">changed the definition to explicitly include E&amp;P accumulated by a foreign corporation while not a CFC, the preamble called this a mere “clarification.” </w:t>
      </w:r>
      <w:r w:rsidR="00835088" w:rsidRPr="0068133F">
        <w:rPr>
          <w:rFonts w:cs="Times New Roman"/>
          <w:sz w:val="18"/>
          <w:szCs w:val="18"/>
        </w:rPr>
        <w:t xml:space="preserve">56 Fed. Reg. 41993, </w:t>
      </w:r>
      <w:r w:rsidR="0093499A" w:rsidRPr="0068133F">
        <w:rPr>
          <w:rFonts w:cs="Times New Roman"/>
          <w:sz w:val="18"/>
          <w:szCs w:val="18"/>
        </w:rPr>
        <w:t>41996.</w:t>
      </w:r>
      <w:r w:rsidR="00E83D1E" w:rsidRPr="0068133F">
        <w:rPr>
          <w:rFonts w:cs="Times New Roman"/>
          <w:sz w:val="18"/>
          <w:szCs w:val="18"/>
        </w:rPr>
        <w:t xml:space="preserve"> </w:t>
      </w:r>
    </w:p>
  </w:footnote>
  <w:footnote w:id="55">
    <w:p w14:paraId="4FA85FCA" w14:textId="04BB7634" w:rsidR="00E672C6" w:rsidRPr="0068133F" w:rsidRDefault="00E672C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33542" w:rsidRPr="0068133F">
        <w:rPr>
          <w:rFonts w:cs="Times New Roman"/>
          <w:sz w:val="18"/>
          <w:szCs w:val="18"/>
        </w:rPr>
        <w:t>Reg.</w:t>
      </w:r>
      <w:r w:rsidRPr="0068133F">
        <w:rPr>
          <w:rFonts w:cs="Times New Roman"/>
          <w:sz w:val="18"/>
          <w:szCs w:val="18"/>
        </w:rPr>
        <w:t xml:space="preserve"> §7.367(b)-5T(b)</w:t>
      </w:r>
      <w:r w:rsidR="00FF6D3A" w:rsidRPr="0068133F">
        <w:rPr>
          <w:rFonts w:cs="Times New Roman"/>
          <w:sz w:val="18"/>
          <w:szCs w:val="18"/>
        </w:rPr>
        <w:t xml:space="preserve"> (1977</w:t>
      </w:r>
      <w:r w:rsidRPr="0068133F">
        <w:rPr>
          <w:rFonts w:cs="Times New Roman"/>
          <w:sz w:val="18"/>
          <w:szCs w:val="18"/>
        </w:rPr>
        <w:t>)</w:t>
      </w:r>
      <w:r w:rsidR="004715BF" w:rsidRPr="0068133F">
        <w:rPr>
          <w:rFonts w:cs="Times New Roman"/>
          <w:sz w:val="18"/>
          <w:szCs w:val="18"/>
        </w:rPr>
        <w:t>.</w:t>
      </w:r>
    </w:p>
  </w:footnote>
  <w:footnote w:id="56">
    <w:p w14:paraId="096FAAB1" w14:textId="035AAEDE" w:rsidR="00E672C6" w:rsidRPr="0068133F" w:rsidRDefault="00E672C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33542" w:rsidRPr="0068133F">
        <w:rPr>
          <w:rFonts w:cs="Times New Roman"/>
          <w:sz w:val="18"/>
          <w:szCs w:val="18"/>
        </w:rPr>
        <w:t>Reg.</w:t>
      </w:r>
      <w:r w:rsidRPr="0068133F">
        <w:rPr>
          <w:rFonts w:cs="Times New Roman"/>
          <w:sz w:val="18"/>
          <w:szCs w:val="18"/>
        </w:rPr>
        <w:t xml:space="preserve"> §7.367(b)-7T(c)(1)(i)</w:t>
      </w:r>
      <w:r w:rsidR="00FF6D3A" w:rsidRPr="0068133F">
        <w:rPr>
          <w:rFonts w:cs="Times New Roman"/>
          <w:sz w:val="18"/>
          <w:szCs w:val="18"/>
        </w:rPr>
        <w:t xml:space="preserve"> (1977</w:t>
      </w:r>
      <w:r w:rsidRPr="0068133F">
        <w:rPr>
          <w:rFonts w:cs="Times New Roman"/>
          <w:sz w:val="18"/>
          <w:szCs w:val="18"/>
        </w:rPr>
        <w:t>)</w:t>
      </w:r>
      <w:r w:rsidR="005F64AC" w:rsidRPr="0068133F">
        <w:rPr>
          <w:rFonts w:cs="Times New Roman"/>
          <w:sz w:val="18"/>
          <w:szCs w:val="18"/>
        </w:rPr>
        <w:t>.</w:t>
      </w:r>
    </w:p>
  </w:footnote>
  <w:footnote w:id="57">
    <w:p w14:paraId="1BF407C4" w14:textId="0F3960C5" w:rsidR="00E672C6" w:rsidRPr="0068133F" w:rsidRDefault="00E672C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33542" w:rsidRPr="0068133F">
        <w:rPr>
          <w:rFonts w:cs="Times New Roman"/>
          <w:sz w:val="18"/>
          <w:szCs w:val="18"/>
        </w:rPr>
        <w:t>Reg.</w:t>
      </w:r>
      <w:r w:rsidRPr="0068133F">
        <w:rPr>
          <w:rFonts w:cs="Times New Roman"/>
          <w:sz w:val="18"/>
          <w:szCs w:val="18"/>
        </w:rPr>
        <w:t xml:space="preserve"> §7.367(b)-7T(c)(2)</w:t>
      </w:r>
      <w:r w:rsidR="00FF6D3A" w:rsidRPr="0068133F">
        <w:rPr>
          <w:rFonts w:cs="Times New Roman"/>
          <w:sz w:val="18"/>
          <w:szCs w:val="18"/>
        </w:rPr>
        <w:t xml:space="preserve"> (1977</w:t>
      </w:r>
      <w:r w:rsidRPr="0068133F">
        <w:rPr>
          <w:rFonts w:cs="Times New Roman"/>
          <w:sz w:val="18"/>
          <w:szCs w:val="18"/>
        </w:rPr>
        <w:t>)</w:t>
      </w:r>
      <w:r w:rsidR="00235EF5" w:rsidRPr="0068133F">
        <w:rPr>
          <w:rFonts w:cs="Times New Roman"/>
          <w:sz w:val="18"/>
          <w:szCs w:val="18"/>
        </w:rPr>
        <w:t>.</w:t>
      </w:r>
      <w:r w:rsidR="00627368" w:rsidRPr="0068133F">
        <w:rPr>
          <w:rFonts w:cs="Times New Roman"/>
          <w:sz w:val="18"/>
          <w:szCs w:val="18"/>
        </w:rPr>
        <w:t xml:space="preserve"> </w:t>
      </w:r>
      <w:r w:rsidR="00AC1012" w:rsidRPr="0068133F">
        <w:rPr>
          <w:rFonts w:cs="Times New Roman"/>
          <w:sz w:val="18"/>
          <w:szCs w:val="18"/>
        </w:rPr>
        <w:t xml:space="preserve">There is some uncertainty regarding whether </w:t>
      </w:r>
      <w:r w:rsidR="000F7D9E" w:rsidRPr="0068133F">
        <w:rPr>
          <w:rFonts w:cs="Times New Roman"/>
          <w:sz w:val="18"/>
          <w:szCs w:val="18"/>
        </w:rPr>
        <w:t xml:space="preserve">this inclusion of the all E&amp;P amount was limited to </w:t>
      </w:r>
      <w:r w:rsidR="00F72BF2" w:rsidRPr="0068133F">
        <w:rPr>
          <w:rFonts w:cs="Times New Roman"/>
          <w:sz w:val="18"/>
          <w:szCs w:val="18"/>
        </w:rPr>
        <w:t>corporate 1248 shareholders, or</w:t>
      </w:r>
      <w:r w:rsidR="00AF4E7C" w:rsidRPr="0068133F">
        <w:rPr>
          <w:rFonts w:cs="Times New Roman"/>
          <w:sz w:val="18"/>
          <w:szCs w:val="18"/>
        </w:rPr>
        <w:t xml:space="preserve">, alternatively, whether it applied with respect to any shareholder that was a domestic corporation, including a small shareholder. </w:t>
      </w:r>
      <w:r w:rsidR="00627368" w:rsidRPr="0068133F">
        <w:rPr>
          <w:rFonts w:cs="Times New Roman"/>
          <w:sz w:val="18"/>
          <w:szCs w:val="18"/>
        </w:rPr>
        <w:t xml:space="preserve">While </w:t>
      </w:r>
      <w:r w:rsidR="00E166F8" w:rsidRPr="0068133F">
        <w:rPr>
          <w:rFonts w:cs="Times New Roman"/>
          <w:sz w:val="18"/>
          <w:szCs w:val="18"/>
        </w:rPr>
        <w:t>the rule in Reg. §7.367(b)-7T(c)(2)</w:t>
      </w:r>
      <w:r w:rsidR="00046C3D" w:rsidRPr="0068133F">
        <w:rPr>
          <w:rFonts w:cs="Times New Roman"/>
          <w:sz w:val="18"/>
          <w:szCs w:val="18"/>
        </w:rPr>
        <w:t xml:space="preserve"> (1977)</w:t>
      </w:r>
      <w:r w:rsidR="00E166F8" w:rsidRPr="0068133F">
        <w:rPr>
          <w:rFonts w:cs="Times New Roman"/>
          <w:sz w:val="18"/>
          <w:szCs w:val="18"/>
        </w:rPr>
        <w:t xml:space="preserve"> is not expressly limited to</w:t>
      </w:r>
      <w:r w:rsidR="00046C3D" w:rsidRPr="0068133F">
        <w:rPr>
          <w:rFonts w:cs="Times New Roman"/>
          <w:sz w:val="18"/>
          <w:szCs w:val="18"/>
        </w:rPr>
        <w:t xml:space="preserve"> domestic corporations that are 1248 shareholders, the scope rule of </w:t>
      </w:r>
      <w:r w:rsidR="00E31215" w:rsidRPr="0068133F">
        <w:rPr>
          <w:rFonts w:cs="Times New Roman"/>
          <w:sz w:val="18"/>
          <w:szCs w:val="18"/>
        </w:rPr>
        <w:t xml:space="preserve">Reg. </w:t>
      </w:r>
      <w:r w:rsidR="00046C3D" w:rsidRPr="0068133F">
        <w:rPr>
          <w:rFonts w:cs="Times New Roman"/>
          <w:sz w:val="18"/>
          <w:szCs w:val="18"/>
        </w:rPr>
        <w:t>§7.367(b)-7(a) (1977) provides that the section applies</w:t>
      </w:r>
      <w:r w:rsidR="00AF4E7C" w:rsidRPr="0068133F">
        <w:rPr>
          <w:rFonts w:cs="Times New Roman"/>
          <w:sz w:val="18"/>
          <w:szCs w:val="18"/>
        </w:rPr>
        <w:t xml:space="preserve"> only</w:t>
      </w:r>
      <w:r w:rsidR="00046C3D" w:rsidRPr="0068133F">
        <w:rPr>
          <w:rFonts w:cs="Times New Roman"/>
          <w:sz w:val="18"/>
          <w:szCs w:val="18"/>
        </w:rPr>
        <w:t>“[i]f the</w:t>
      </w:r>
      <w:r w:rsidR="00627368" w:rsidRPr="0068133F">
        <w:rPr>
          <w:rFonts w:cs="Times New Roman"/>
          <w:sz w:val="18"/>
          <w:szCs w:val="18"/>
        </w:rPr>
        <w:t xml:space="preserve"> exchanging person is either a United States shareholder or a foreign corporation having a United States shareholder who is also a United States shareholder of the corporation whose stock is exchanged.</w:t>
      </w:r>
      <w:r w:rsidR="00046C3D" w:rsidRPr="0068133F">
        <w:rPr>
          <w:rFonts w:cs="Times New Roman"/>
          <w:sz w:val="18"/>
          <w:szCs w:val="18"/>
        </w:rPr>
        <w:t xml:space="preserve">” </w:t>
      </w:r>
      <w:r w:rsidR="00D373CB" w:rsidRPr="0068133F">
        <w:rPr>
          <w:rFonts w:cs="Times New Roman"/>
          <w:sz w:val="18"/>
          <w:szCs w:val="18"/>
        </w:rPr>
        <w:t>Nonetheless, at least one</w:t>
      </w:r>
      <w:r w:rsidR="003A2922" w:rsidRPr="0068133F">
        <w:rPr>
          <w:rFonts w:cs="Times New Roman"/>
          <w:sz w:val="18"/>
          <w:szCs w:val="18"/>
        </w:rPr>
        <w:t xml:space="preserve"> contemporaneous</w:t>
      </w:r>
      <w:r w:rsidR="00D373CB" w:rsidRPr="0068133F">
        <w:rPr>
          <w:rFonts w:cs="Times New Roman"/>
          <w:sz w:val="18"/>
          <w:szCs w:val="18"/>
        </w:rPr>
        <w:t xml:space="preserve"> commentator </w:t>
      </w:r>
      <w:r w:rsidR="003A2922" w:rsidRPr="0068133F">
        <w:rPr>
          <w:rFonts w:cs="Times New Roman"/>
          <w:sz w:val="18"/>
          <w:szCs w:val="18"/>
        </w:rPr>
        <w:t xml:space="preserve">asserted </w:t>
      </w:r>
      <w:r w:rsidR="00D373CB" w:rsidRPr="0068133F">
        <w:rPr>
          <w:rFonts w:cs="Times New Roman"/>
          <w:sz w:val="18"/>
          <w:szCs w:val="18"/>
        </w:rPr>
        <w:t>that</w:t>
      </w:r>
      <w:r w:rsidR="003A2922" w:rsidRPr="0068133F">
        <w:rPr>
          <w:rFonts w:cs="Times New Roman"/>
          <w:sz w:val="18"/>
          <w:szCs w:val="18"/>
        </w:rPr>
        <w:t xml:space="preserve"> this rule applied regardless of whether the exchanging shareholder was a U.S. shareholder,</w:t>
      </w:r>
      <w:r w:rsidR="00AF4E7C" w:rsidRPr="0068133F">
        <w:rPr>
          <w:rFonts w:cs="Times New Roman"/>
          <w:sz w:val="18"/>
          <w:szCs w:val="18"/>
        </w:rPr>
        <w:t xml:space="preserve"> on the grounds</w:t>
      </w:r>
      <w:r w:rsidR="003A2922" w:rsidRPr="0068133F">
        <w:rPr>
          <w:rFonts w:cs="Times New Roman"/>
          <w:sz w:val="18"/>
          <w:szCs w:val="18"/>
        </w:rPr>
        <w:t xml:space="preserve"> that</w:t>
      </w:r>
      <w:r w:rsidR="00D373CB" w:rsidRPr="0068133F">
        <w:rPr>
          <w:rFonts w:cs="Times New Roman"/>
          <w:sz w:val="18"/>
          <w:szCs w:val="18"/>
        </w:rPr>
        <w:t xml:space="preserve"> </w:t>
      </w:r>
      <w:r w:rsidR="00747B45" w:rsidRPr="0068133F">
        <w:rPr>
          <w:rFonts w:cs="Times New Roman"/>
          <w:sz w:val="18"/>
          <w:szCs w:val="18"/>
        </w:rPr>
        <w:t xml:space="preserve">the exchanging shareholder limitation in the scope paragraph “was </w:t>
      </w:r>
      <w:bookmarkStart w:id="7" w:name="OLE_LINK8"/>
      <w:r w:rsidR="00747B45" w:rsidRPr="0068133F">
        <w:rPr>
          <w:rFonts w:cs="Times New Roman"/>
          <w:sz w:val="18"/>
          <w:szCs w:val="18"/>
        </w:rPr>
        <w:t xml:space="preserve">meant to encompass </w:t>
      </w:r>
      <w:bookmarkEnd w:id="7"/>
      <w:r w:rsidR="00747B45" w:rsidRPr="0068133F">
        <w:rPr>
          <w:rFonts w:cs="Times New Roman"/>
          <w:sz w:val="18"/>
          <w:szCs w:val="18"/>
        </w:rPr>
        <w:t xml:space="preserve">only paragraphs (b) and (c)(1)” of Reg. §7.367(b)-7 (1977) and </w:t>
      </w:r>
      <w:r w:rsidR="003A2922" w:rsidRPr="0068133F">
        <w:rPr>
          <w:rFonts w:cs="Times New Roman"/>
          <w:sz w:val="18"/>
          <w:szCs w:val="18"/>
        </w:rPr>
        <w:t xml:space="preserve">that the rule would be corrected in the final regulations. </w:t>
      </w:r>
      <w:r w:rsidR="007A635F" w:rsidRPr="0068133F">
        <w:rPr>
          <w:rFonts w:cs="Times New Roman"/>
          <w:sz w:val="18"/>
          <w:szCs w:val="18"/>
        </w:rPr>
        <w:t>Charles I.</w:t>
      </w:r>
      <w:r w:rsidR="003A2922" w:rsidRPr="0068133F">
        <w:rPr>
          <w:rFonts w:cs="Times New Roman"/>
          <w:sz w:val="18"/>
          <w:szCs w:val="18"/>
        </w:rPr>
        <w:t xml:space="preserve"> Kingson</w:t>
      </w:r>
      <w:r w:rsidR="007552FC" w:rsidRPr="0068133F">
        <w:rPr>
          <w:rFonts w:cs="Times New Roman"/>
          <w:sz w:val="18"/>
          <w:szCs w:val="18"/>
        </w:rPr>
        <w:t xml:space="preserve">, </w:t>
      </w:r>
      <w:r w:rsidR="007552FC" w:rsidRPr="0068133F">
        <w:rPr>
          <w:rFonts w:cs="Times New Roman"/>
          <w:i/>
          <w:iCs/>
          <w:sz w:val="18"/>
          <w:szCs w:val="18"/>
        </w:rPr>
        <w:t>The Theory and Practice of Section 367</w:t>
      </w:r>
      <w:r w:rsidR="007552FC" w:rsidRPr="0068133F">
        <w:rPr>
          <w:rFonts w:cs="Times New Roman"/>
          <w:sz w:val="18"/>
          <w:szCs w:val="18"/>
        </w:rPr>
        <w:t>, 37 NYU Inst. on Fed. Tax’n, ¶ 22.03[7][c]</w:t>
      </w:r>
      <w:r w:rsidR="00BA0F44">
        <w:rPr>
          <w:rFonts w:cs="Times New Roman"/>
          <w:sz w:val="18"/>
          <w:szCs w:val="18"/>
        </w:rPr>
        <w:t xml:space="preserve">, 22-27, </w:t>
      </w:r>
      <w:r w:rsidR="00696894" w:rsidRPr="0068133F">
        <w:rPr>
          <w:rFonts w:cs="Times New Roman"/>
          <w:sz w:val="18"/>
          <w:szCs w:val="18"/>
        </w:rPr>
        <w:t>n.53</w:t>
      </w:r>
      <w:r w:rsidR="007552FC" w:rsidRPr="0068133F">
        <w:rPr>
          <w:rFonts w:cs="Times New Roman"/>
          <w:sz w:val="18"/>
          <w:szCs w:val="18"/>
        </w:rPr>
        <w:t xml:space="preserve"> (1979)</w:t>
      </w:r>
      <w:r w:rsidR="001906D6">
        <w:rPr>
          <w:rFonts w:cs="Times New Roman"/>
          <w:sz w:val="18"/>
          <w:szCs w:val="18"/>
        </w:rPr>
        <w:t xml:space="preserve"> (“</w:t>
      </w:r>
      <w:r w:rsidR="001906D6" w:rsidRPr="001906D6">
        <w:rPr>
          <w:rFonts w:cs="Times New Roman"/>
          <w:b/>
          <w:bCs/>
          <w:sz w:val="18"/>
          <w:szCs w:val="18"/>
        </w:rPr>
        <w:t>Kingson</w:t>
      </w:r>
      <w:r w:rsidR="001906D6">
        <w:rPr>
          <w:rFonts w:cs="Times New Roman"/>
          <w:sz w:val="18"/>
          <w:szCs w:val="18"/>
        </w:rPr>
        <w:t xml:space="preserve">”) </w:t>
      </w:r>
      <w:r w:rsidR="00747B45" w:rsidRPr="0068133F">
        <w:rPr>
          <w:rFonts w:cs="Times New Roman"/>
          <w:sz w:val="18"/>
          <w:szCs w:val="18"/>
        </w:rPr>
        <w:t>As discussed</w:t>
      </w:r>
      <w:r w:rsidR="003A2922" w:rsidRPr="0068133F">
        <w:rPr>
          <w:rFonts w:cs="Times New Roman"/>
          <w:sz w:val="18"/>
          <w:szCs w:val="18"/>
        </w:rPr>
        <w:t xml:space="preserve"> </w:t>
      </w:r>
      <w:r w:rsidR="003A2922" w:rsidRPr="0068133F">
        <w:rPr>
          <w:rFonts w:cs="Times New Roman"/>
          <w:i/>
          <w:iCs/>
          <w:sz w:val="18"/>
          <w:szCs w:val="18"/>
        </w:rPr>
        <w:t>infra</w:t>
      </w:r>
      <w:r w:rsidR="00747B45" w:rsidRPr="0068133F">
        <w:rPr>
          <w:rFonts w:cs="Times New Roman"/>
          <w:sz w:val="18"/>
          <w:szCs w:val="18"/>
        </w:rPr>
        <w:t xml:space="preserve">, the proposed regulations, and ultimately the final regulations, did </w:t>
      </w:r>
      <w:r w:rsidR="003A2922" w:rsidRPr="0068133F">
        <w:rPr>
          <w:rFonts w:cs="Times New Roman"/>
          <w:sz w:val="18"/>
          <w:szCs w:val="18"/>
        </w:rPr>
        <w:t>change the</w:t>
      </w:r>
      <w:r w:rsidR="00747B45" w:rsidRPr="0068133F">
        <w:rPr>
          <w:rFonts w:cs="Times New Roman"/>
          <w:sz w:val="18"/>
          <w:szCs w:val="18"/>
        </w:rPr>
        <w:t xml:space="preserve"> analogous rule in B3 to</w:t>
      </w:r>
      <w:r w:rsidR="003A2922" w:rsidRPr="0068133F">
        <w:rPr>
          <w:rFonts w:cs="Times New Roman"/>
          <w:sz w:val="18"/>
          <w:szCs w:val="18"/>
        </w:rPr>
        <w:t xml:space="preserve"> require </w:t>
      </w:r>
      <w:r w:rsidR="003A2922" w:rsidRPr="0068133F">
        <w:rPr>
          <w:rFonts w:cs="Times New Roman"/>
          <w:i/>
          <w:iCs/>
          <w:sz w:val="18"/>
          <w:szCs w:val="18"/>
        </w:rPr>
        <w:t xml:space="preserve">all </w:t>
      </w:r>
      <w:r w:rsidR="00747B45" w:rsidRPr="0068133F">
        <w:rPr>
          <w:rFonts w:cs="Times New Roman"/>
          <w:sz w:val="18"/>
          <w:szCs w:val="18"/>
        </w:rPr>
        <w:t>shareholders that are U.S. persons, not just corporate U.S. shareholders</w:t>
      </w:r>
      <w:r w:rsidR="003A2922" w:rsidRPr="0068133F">
        <w:rPr>
          <w:rFonts w:cs="Times New Roman"/>
          <w:sz w:val="18"/>
          <w:szCs w:val="18"/>
        </w:rPr>
        <w:t xml:space="preserve">, to include the all E&amp;P amount in an inbound nonrecognition </w:t>
      </w:r>
      <w:r w:rsidR="00266E9B" w:rsidRPr="0068133F">
        <w:rPr>
          <w:rFonts w:cs="Times New Roman"/>
          <w:sz w:val="18"/>
          <w:szCs w:val="18"/>
        </w:rPr>
        <w:t>transaction</w:t>
      </w:r>
      <w:r w:rsidR="003A2922" w:rsidRPr="0068133F">
        <w:rPr>
          <w:rFonts w:cs="Times New Roman"/>
          <w:sz w:val="18"/>
          <w:szCs w:val="18"/>
        </w:rPr>
        <w:t>.</w:t>
      </w:r>
    </w:p>
  </w:footnote>
  <w:footnote w:id="58">
    <w:p w14:paraId="7BDABE45" w14:textId="38B549A9" w:rsidR="00E672C6" w:rsidRPr="0068133F" w:rsidRDefault="00E672C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33542" w:rsidRPr="0068133F">
        <w:rPr>
          <w:rFonts w:cs="Times New Roman"/>
          <w:sz w:val="18"/>
          <w:szCs w:val="18"/>
        </w:rPr>
        <w:t>Reg.</w:t>
      </w:r>
      <w:r w:rsidRPr="0068133F">
        <w:rPr>
          <w:rFonts w:cs="Times New Roman"/>
          <w:sz w:val="18"/>
          <w:szCs w:val="18"/>
        </w:rPr>
        <w:t xml:space="preserve"> §7.367(b)-7T(c)(1)(ii)</w:t>
      </w:r>
      <w:r w:rsidR="00FF6D3A" w:rsidRPr="0068133F">
        <w:rPr>
          <w:rFonts w:cs="Times New Roman"/>
          <w:sz w:val="18"/>
          <w:szCs w:val="18"/>
        </w:rPr>
        <w:t xml:space="preserve"> (1977</w:t>
      </w:r>
      <w:r w:rsidRPr="0068133F">
        <w:rPr>
          <w:rFonts w:cs="Times New Roman"/>
          <w:sz w:val="18"/>
          <w:szCs w:val="18"/>
        </w:rPr>
        <w:t>)</w:t>
      </w:r>
      <w:r w:rsidR="00235EF5" w:rsidRPr="0068133F">
        <w:rPr>
          <w:rFonts w:cs="Times New Roman"/>
          <w:sz w:val="18"/>
          <w:szCs w:val="18"/>
        </w:rPr>
        <w:t>.</w:t>
      </w:r>
    </w:p>
  </w:footnote>
  <w:footnote w:id="59">
    <w:p w14:paraId="493B2B89" w14:textId="5686F3A4" w:rsidR="003575AD" w:rsidRPr="0068133F" w:rsidRDefault="003575AD"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33542" w:rsidRPr="0068133F">
        <w:rPr>
          <w:rFonts w:cs="Times New Roman"/>
          <w:sz w:val="18"/>
          <w:szCs w:val="18"/>
        </w:rPr>
        <w:t>Reg.</w:t>
      </w:r>
      <w:r w:rsidRPr="0068133F">
        <w:rPr>
          <w:rFonts w:cs="Times New Roman"/>
          <w:sz w:val="18"/>
          <w:szCs w:val="18"/>
        </w:rPr>
        <w:t xml:space="preserve"> §7.367(b)-7T(c)(1)(i)</w:t>
      </w:r>
      <w:r w:rsidR="00FF6D3A" w:rsidRPr="0068133F">
        <w:rPr>
          <w:rFonts w:cs="Times New Roman"/>
          <w:sz w:val="18"/>
          <w:szCs w:val="18"/>
        </w:rPr>
        <w:t xml:space="preserve"> (1977</w:t>
      </w:r>
      <w:r w:rsidRPr="0068133F">
        <w:rPr>
          <w:rFonts w:cs="Times New Roman"/>
          <w:sz w:val="18"/>
          <w:szCs w:val="18"/>
        </w:rPr>
        <w:t>)</w:t>
      </w:r>
      <w:r w:rsidR="00235EF5" w:rsidRPr="0068133F">
        <w:rPr>
          <w:rFonts w:cs="Times New Roman"/>
          <w:sz w:val="18"/>
          <w:szCs w:val="18"/>
        </w:rPr>
        <w:t>.</w:t>
      </w:r>
    </w:p>
  </w:footnote>
  <w:footnote w:id="60">
    <w:p w14:paraId="288F6665" w14:textId="7199EFCB" w:rsidR="003575AD" w:rsidRPr="0068133F" w:rsidRDefault="003575AD"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33542" w:rsidRPr="0068133F">
        <w:rPr>
          <w:rFonts w:cs="Times New Roman"/>
          <w:sz w:val="18"/>
          <w:szCs w:val="18"/>
        </w:rPr>
        <w:t>Reg.</w:t>
      </w:r>
      <w:r w:rsidRPr="0068133F">
        <w:rPr>
          <w:rFonts w:cs="Times New Roman"/>
          <w:sz w:val="18"/>
          <w:szCs w:val="18"/>
        </w:rPr>
        <w:t xml:space="preserve"> §7.367(b)-7T(c)(1)(ii)</w:t>
      </w:r>
      <w:r w:rsidR="00FF6D3A" w:rsidRPr="0068133F">
        <w:rPr>
          <w:rFonts w:cs="Times New Roman"/>
          <w:sz w:val="18"/>
          <w:szCs w:val="18"/>
        </w:rPr>
        <w:t xml:space="preserve"> (1977</w:t>
      </w:r>
      <w:r w:rsidRPr="0068133F">
        <w:rPr>
          <w:rFonts w:cs="Times New Roman"/>
          <w:sz w:val="18"/>
          <w:szCs w:val="18"/>
        </w:rPr>
        <w:t>).</w:t>
      </w:r>
    </w:p>
  </w:footnote>
  <w:footnote w:id="61">
    <w:p w14:paraId="025890CA" w14:textId="2930812D" w:rsidR="00061FA5" w:rsidRPr="0068133F" w:rsidRDefault="00061FA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33542" w:rsidRPr="0068133F">
        <w:rPr>
          <w:rFonts w:cs="Times New Roman"/>
          <w:sz w:val="18"/>
          <w:szCs w:val="18"/>
        </w:rPr>
        <w:t>Reg.</w:t>
      </w:r>
      <w:r w:rsidRPr="0068133F">
        <w:rPr>
          <w:rFonts w:cs="Times New Roman"/>
          <w:sz w:val="18"/>
          <w:szCs w:val="18"/>
        </w:rPr>
        <w:t xml:space="preserve"> §7.367(b)-7T(c)(1)(i)</w:t>
      </w:r>
      <w:r w:rsidR="00FF6D3A" w:rsidRPr="0068133F">
        <w:rPr>
          <w:rFonts w:cs="Times New Roman"/>
          <w:sz w:val="18"/>
          <w:szCs w:val="18"/>
        </w:rPr>
        <w:t xml:space="preserve"> (1977</w:t>
      </w:r>
      <w:r w:rsidRPr="0068133F">
        <w:rPr>
          <w:rFonts w:cs="Times New Roman"/>
          <w:sz w:val="18"/>
          <w:szCs w:val="18"/>
        </w:rPr>
        <w:t>).</w:t>
      </w:r>
    </w:p>
  </w:footnote>
  <w:footnote w:id="62">
    <w:p w14:paraId="0F0755B7" w14:textId="598CF8C3" w:rsidR="00061FA5" w:rsidRPr="0068133F" w:rsidRDefault="00061FA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33542" w:rsidRPr="0068133F">
        <w:rPr>
          <w:rFonts w:cs="Times New Roman"/>
          <w:sz w:val="18"/>
          <w:szCs w:val="18"/>
        </w:rPr>
        <w:t>Reg.</w:t>
      </w:r>
      <w:r w:rsidRPr="0068133F">
        <w:rPr>
          <w:rFonts w:cs="Times New Roman"/>
          <w:sz w:val="18"/>
          <w:szCs w:val="18"/>
        </w:rPr>
        <w:t xml:space="preserve"> §7.367(b)-7T(c)(1)(ii)</w:t>
      </w:r>
      <w:r w:rsidR="00FF6D3A" w:rsidRPr="0068133F">
        <w:rPr>
          <w:rFonts w:cs="Times New Roman"/>
          <w:sz w:val="18"/>
          <w:szCs w:val="18"/>
        </w:rPr>
        <w:t xml:space="preserve"> (1977</w:t>
      </w:r>
      <w:r w:rsidRPr="0068133F">
        <w:rPr>
          <w:rFonts w:cs="Times New Roman"/>
          <w:sz w:val="18"/>
          <w:szCs w:val="18"/>
        </w:rPr>
        <w:t>).</w:t>
      </w:r>
    </w:p>
  </w:footnote>
  <w:footnote w:id="63">
    <w:p w14:paraId="23E80637" w14:textId="40699191" w:rsidR="007F0ACE" w:rsidRPr="0068133F" w:rsidRDefault="007F0AC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56 Fed. Reg. 41993 (Aug. 26, 1991).</w:t>
      </w:r>
    </w:p>
  </w:footnote>
  <w:footnote w:id="64">
    <w:p w14:paraId="5C128FA1" w14:textId="0F06142E" w:rsidR="007F0ACE" w:rsidRPr="0068133F" w:rsidRDefault="007F0AC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D71DA9" w:rsidRPr="0068133F">
        <w:rPr>
          <w:rFonts w:cs="Times New Roman"/>
          <w:sz w:val="18"/>
          <w:szCs w:val="18"/>
        </w:rPr>
        <w:t>T</w:t>
      </w:r>
      <w:r w:rsidR="00D81E76" w:rsidRPr="0068133F">
        <w:rPr>
          <w:rFonts w:cs="Times New Roman"/>
          <w:sz w:val="18"/>
          <w:szCs w:val="18"/>
        </w:rPr>
        <w:t>.</w:t>
      </w:r>
      <w:r w:rsidR="00D71DA9" w:rsidRPr="0068133F">
        <w:rPr>
          <w:rFonts w:cs="Times New Roman"/>
          <w:sz w:val="18"/>
          <w:szCs w:val="18"/>
        </w:rPr>
        <w:t>D</w:t>
      </w:r>
      <w:r w:rsidR="00D81E76" w:rsidRPr="0068133F">
        <w:rPr>
          <w:rFonts w:cs="Times New Roman"/>
          <w:sz w:val="18"/>
          <w:szCs w:val="18"/>
        </w:rPr>
        <w:t>.</w:t>
      </w:r>
      <w:r w:rsidR="00D71DA9" w:rsidRPr="0068133F">
        <w:rPr>
          <w:rFonts w:cs="Times New Roman"/>
          <w:sz w:val="18"/>
          <w:szCs w:val="18"/>
        </w:rPr>
        <w:t xml:space="preserve"> 8862, 65 Fed. Reg. 3589 (Jan. 24, 2000)</w:t>
      </w:r>
      <w:r w:rsidR="00D81E76" w:rsidRPr="0068133F">
        <w:rPr>
          <w:rFonts w:cs="Times New Roman"/>
          <w:sz w:val="18"/>
          <w:szCs w:val="18"/>
        </w:rPr>
        <w:t>.</w:t>
      </w:r>
    </w:p>
  </w:footnote>
  <w:footnote w:id="65">
    <w:p w14:paraId="23CA88A0" w14:textId="247CE4E7" w:rsidR="00646ECD" w:rsidRPr="0068133F" w:rsidRDefault="00646ECD"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bookmarkStart w:id="8" w:name="_Hlk117230537"/>
      <w:r w:rsidR="007C4E9D" w:rsidRPr="0068133F">
        <w:rPr>
          <w:rFonts w:cs="Times New Roman"/>
          <w:sz w:val="18"/>
          <w:szCs w:val="18"/>
        </w:rPr>
        <w:t xml:space="preserve">56 Fed. Reg. </w:t>
      </w:r>
      <w:r w:rsidR="00A84256" w:rsidRPr="0068133F">
        <w:rPr>
          <w:rFonts w:cs="Times New Roman"/>
          <w:sz w:val="18"/>
          <w:szCs w:val="18"/>
        </w:rPr>
        <w:t>41993</w:t>
      </w:r>
      <w:r w:rsidR="00D6491D" w:rsidRPr="0068133F">
        <w:rPr>
          <w:rFonts w:cs="Times New Roman"/>
          <w:sz w:val="18"/>
          <w:szCs w:val="18"/>
        </w:rPr>
        <w:t>, 41995</w:t>
      </w:r>
      <w:bookmarkEnd w:id="8"/>
      <w:r w:rsidR="00CF2D2E" w:rsidRPr="0068133F">
        <w:rPr>
          <w:rFonts w:cs="Times New Roman"/>
          <w:sz w:val="18"/>
          <w:szCs w:val="18"/>
        </w:rPr>
        <w:t xml:space="preserve"> (Aug. 26, </w:t>
      </w:r>
      <w:r w:rsidR="009D6BB1" w:rsidRPr="0068133F">
        <w:rPr>
          <w:rFonts w:cs="Times New Roman"/>
          <w:sz w:val="18"/>
          <w:szCs w:val="18"/>
        </w:rPr>
        <w:t>199</w:t>
      </w:r>
      <w:r w:rsidR="00CF2D2E" w:rsidRPr="0068133F">
        <w:rPr>
          <w:rFonts w:cs="Times New Roman"/>
          <w:sz w:val="18"/>
          <w:szCs w:val="18"/>
        </w:rPr>
        <w:t>1)</w:t>
      </w:r>
      <w:r w:rsidR="007F0ACE" w:rsidRPr="0068133F">
        <w:rPr>
          <w:rFonts w:cs="Times New Roman"/>
          <w:sz w:val="18"/>
          <w:szCs w:val="18"/>
        </w:rPr>
        <w:t>.</w:t>
      </w:r>
      <w:r w:rsidR="00085EE1" w:rsidRPr="0068133F">
        <w:rPr>
          <w:rFonts w:cs="Times New Roman"/>
          <w:sz w:val="18"/>
          <w:szCs w:val="18"/>
        </w:rPr>
        <w:t xml:space="preserve"> </w:t>
      </w:r>
    </w:p>
  </w:footnote>
  <w:footnote w:id="66">
    <w:p w14:paraId="39923E46" w14:textId="61ADF9E5" w:rsidR="0032133D" w:rsidRPr="0068133F" w:rsidRDefault="0032133D"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7F0ACE" w:rsidRPr="0068133F">
        <w:rPr>
          <w:rFonts w:cs="Times New Roman"/>
          <w:i/>
          <w:iCs/>
          <w:sz w:val="18"/>
          <w:szCs w:val="18"/>
        </w:rPr>
        <w:t>Id</w:t>
      </w:r>
      <w:r w:rsidR="007F0ACE" w:rsidRPr="0068133F">
        <w:rPr>
          <w:rFonts w:cs="Times New Roman"/>
          <w:sz w:val="18"/>
          <w:szCs w:val="18"/>
        </w:rPr>
        <w:t>.</w:t>
      </w:r>
      <w:r w:rsidRPr="0068133F">
        <w:rPr>
          <w:rFonts w:cs="Times New Roman"/>
          <w:sz w:val="18"/>
          <w:szCs w:val="18"/>
        </w:rPr>
        <w:t xml:space="preserve"> </w:t>
      </w:r>
      <w:r w:rsidR="007F0ACE" w:rsidRPr="0068133F">
        <w:rPr>
          <w:rFonts w:cs="Times New Roman"/>
          <w:sz w:val="18"/>
          <w:szCs w:val="18"/>
        </w:rPr>
        <w:t>at</w:t>
      </w:r>
      <w:r w:rsidRPr="0068133F">
        <w:rPr>
          <w:rFonts w:cs="Times New Roman"/>
          <w:sz w:val="18"/>
          <w:szCs w:val="18"/>
        </w:rPr>
        <w:t xml:space="preserve"> 41996.</w:t>
      </w:r>
      <w:r w:rsidR="003E2317" w:rsidRPr="0068133F">
        <w:rPr>
          <w:rFonts w:cs="Times New Roman"/>
          <w:i/>
          <w:iCs/>
          <w:sz w:val="18"/>
          <w:szCs w:val="18"/>
        </w:rPr>
        <w:t xml:space="preserve"> See also </w:t>
      </w:r>
      <w:r w:rsidR="003E2317" w:rsidRPr="0068133F">
        <w:rPr>
          <w:rFonts w:cs="Times New Roman"/>
          <w:sz w:val="18"/>
          <w:szCs w:val="18"/>
        </w:rPr>
        <w:t>T</w:t>
      </w:r>
      <w:r w:rsidR="002009E2" w:rsidRPr="0068133F">
        <w:rPr>
          <w:rFonts w:cs="Times New Roman"/>
          <w:sz w:val="18"/>
          <w:szCs w:val="18"/>
        </w:rPr>
        <w:t>.</w:t>
      </w:r>
      <w:r w:rsidR="003E2317" w:rsidRPr="0068133F">
        <w:rPr>
          <w:rFonts w:cs="Times New Roman"/>
          <w:sz w:val="18"/>
          <w:szCs w:val="18"/>
        </w:rPr>
        <w:t>D</w:t>
      </w:r>
      <w:r w:rsidR="002009E2" w:rsidRPr="0068133F">
        <w:rPr>
          <w:rFonts w:cs="Times New Roman"/>
          <w:sz w:val="18"/>
          <w:szCs w:val="18"/>
        </w:rPr>
        <w:t>.</w:t>
      </w:r>
      <w:r w:rsidR="003E2317" w:rsidRPr="0068133F">
        <w:rPr>
          <w:rFonts w:cs="Times New Roman"/>
          <w:sz w:val="18"/>
          <w:szCs w:val="18"/>
        </w:rPr>
        <w:t xml:space="preserve"> 8862, 65 Fed. Reg. 3589, 3590 (Jan. 24, 2000) (“This income inclusion prevents the conversion of a deferral of tax into a forgiveness of tax and generally ensures that the section 381 carryover basis reflects an after-tax amount.”)</w:t>
      </w:r>
    </w:p>
  </w:footnote>
  <w:footnote w:id="67">
    <w:p w14:paraId="76B407F1" w14:textId="2C29E41A" w:rsidR="00851D0B" w:rsidRPr="0068133F" w:rsidRDefault="00851D0B"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Prop. Reg. §1.367(b)-</w:t>
      </w:r>
      <w:r w:rsidR="00151821" w:rsidRPr="0068133F">
        <w:rPr>
          <w:rFonts w:cs="Times New Roman"/>
          <w:sz w:val="18"/>
          <w:szCs w:val="18"/>
        </w:rPr>
        <w:t>3</w:t>
      </w:r>
      <w:r w:rsidRPr="0068133F">
        <w:rPr>
          <w:rFonts w:cs="Times New Roman"/>
          <w:sz w:val="18"/>
          <w:szCs w:val="18"/>
        </w:rPr>
        <w:t>(</w:t>
      </w:r>
      <w:r w:rsidR="00806CFD" w:rsidRPr="0068133F">
        <w:rPr>
          <w:rFonts w:cs="Times New Roman"/>
          <w:sz w:val="18"/>
          <w:szCs w:val="18"/>
        </w:rPr>
        <w:t>c</w:t>
      </w:r>
      <w:r w:rsidRPr="0068133F">
        <w:rPr>
          <w:rFonts w:cs="Times New Roman"/>
          <w:sz w:val="18"/>
          <w:szCs w:val="18"/>
        </w:rPr>
        <w:t>)(1) (1991).</w:t>
      </w:r>
      <w:r w:rsidR="00E466BC" w:rsidRPr="0068133F">
        <w:rPr>
          <w:rFonts w:cs="Times New Roman"/>
          <w:sz w:val="18"/>
          <w:szCs w:val="18"/>
        </w:rPr>
        <w:t xml:space="preserve"> </w:t>
      </w:r>
      <w:r w:rsidR="004E43F1" w:rsidRPr="0068133F">
        <w:rPr>
          <w:rFonts w:cs="Times New Roman"/>
          <w:sz w:val="18"/>
          <w:szCs w:val="18"/>
        </w:rPr>
        <w:t>The proposed regulations</w:t>
      </w:r>
      <w:r w:rsidR="00937DCE" w:rsidRPr="0068133F">
        <w:rPr>
          <w:rFonts w:cs="Times New Roman"/>
          <w:sz w:val="18"/>
          <w:szCs w:val="18"/>
        </w:rPr>
        <w:t xml:space="preserve"> revised the definition of the all E&amp;P amount</w:t>
      </w:r>
      <w:r w:rsidR="00A7312E" w:rsidRPr="0068133F">
        <w:rPr>
          <w:rFonts w:cs="Times New Roman"/>
          <w:sz w:val="18"/>
          <w:szCs w:val="18"/>
        </w:rPr>
        <w:t xml:space="preserve"> from</w:t>
      </w:r>
      <w:r w:rsidR="00937DCE" w:rsidRPr="0068133F">
        <w:rPr>
          <w:rFonts w:cs="Times New Roman"/>
          <w:sz w:val="18"/>
          <w:szCs w:val="18"/>
        </w:rPr>
        <w:t xml:space="preserve"> the temporary regulation “to clarify the intended scope of the term</w:t>
      </w:r>
      <w:r w:rsidR="002623C6" w:rsidRPr="0068133F">
        <w:rPr>
          <w:rFonts w:cs="Times New Roman"/>
          <w:sz w:val="18"/>
          <w:szCs w:val="18"/>
        </w:rPr>
        <w:t>,”</w:t>
      </w:r>
      <w:r w:rsidR="00A7312E" w:rsidRPr="0068133F">
        <w:rPr>
          <w:rFonts w:cs="Times New Roman"/>
          <w:sz w:val="18"/>
          <w:szCs w:val="18"/>
        </w:rPr>
        <w:t xml:space="preserve"> </w:t>
      </w:r>
      <w:r w:rsidR="00A7312E" w:rsidRPr="0068133F">
        <w:rPr>
          <w:rFonts w:cs="Times New Roman"/>
          <w:i/>
          <w:iCs/>
          <w:sz w:val="18"/>
          <w:szCs w:val="18"/>
        </w:rPr>
        <w:t>i.e.</w:t>
      </w:r>
      <w:r w:rsidR="00A7312E" w:rsidRPr="0068133F">
        <w:rPr>
          <w:rFonts w:cs="Times New Roman"/>
          <w:sz w:val="18"/>
          <w:szCs w:val="18"/>
        </w:rPr>
        <w:t>,</w:t>
      </w:r>
      <w:r w:rsidR="002623C6" w:rsidRPr="0068133F">
        <w:rPr>
          <w:rFonts w:cs="Times New Roman"/>
          <w:sz w:val="18"/>
          <w:szCs w:val="18"/>
        </w:rPr>
        <w:t xml:space="preserve"> that</w:t>
      </w:r>
      <w:r w:rsidR="00E96C0C" w:rsidRPr="0068133F">
        <w:rPr>
          <w:rFonts w:cs="Times New Roman"/>
          <w:sz w:val="18"/>
          <w:szCs w:val="18"/>
        </w:rPr>
        <w:t xml:space="preserve"> a </w:t>
      </w:r>
      <w:r w:rsidR="000F79DA" w:rsidRPr="0068133F">
        <w:rPr>
          <w:rFonts w:cs="Times New Roman"/>
          <w:sz w:val="18"/>
          <w:szCs w:val="18"/>
        </w:rPr>
        <w:t xml:space="preserve">U.S. </w:t>
      </w:r>
      <w:r w:rsidR="000A7735" w:rsidRPr="0068133F">
        <w:rPr>
          <w:rFonts w:cs="Times New Roman"/>
          <w:sz w:val="18"/>
          <w:szCs w:val="18"/>
        </w:rPr>
        <w:t>person can have</w:t>
      </w:r>
      <w:r w:rsidR="00F05FC8" w:rsidRPr="0068133F">
        <w:rPr>
          <w:rFonts w:cs="Times New Roman"/>
          <w:sz w:val="18"/>
          <w:szCs w:val="18"/>
        </w:rPr>
        <w:t xml:space="preserve"> an all E&amp;P amount </w:t>
      </w:r>
      <w:r w:rsidR="006B3114" w:rsidRPr="0068133F">
        <w:rPr>
          <w:rFonts w:cs="Times New Roman"/>
          <w:sz w:val="18"/>
          <w:szCs w:val="18"/>
        </w:rPr>
        <w:t xml:space="preserve">with respect to </w:t>
      </w:r>
      <w:r w:rsidR="002623C6" w:rsidRPr="0068133F">
        <w:rPr>
          <w:rFonts w:cs="Times New Roman"/>
          <w:sz w:val="18"/>
          <w:szCs w:val="18"/>
        </w:rPr>
        <w:t>a</w:t>
      </w:r>
      <w:r w:rsidR="006B3114" w:rsidRPr="0068133F">
        <w:rPr>
          <w:rFonts w:cs="Times New Roman"/>
          <w:sz w:val="18"/>
          <w:szCs w:val="18"/>
        </w:rPr>
        <w:t xml:space="preserve"> foreign corporation even if</w:t>
      </w:r>
      <w:r w:rsidR="002623C6" w:rsidRPr="0068133F">
        <w:rPr>
          <w:rFonts w:cs="Times New Roman"/>
          <w:sz w:val="18"/>
          <w:szCs w:val="18"/>
        </w:rPr>
        <w:t xml:space="preserve"> </w:t>
      </w:r>
      <w:r w:rsidR="006B3114" w:rsidRPr="0068133F">
        <w:rPr>
          <w:rFonts w:cs="Times New Roman"/>
          <w:sz w:val="18"/>
          <w:szCs w:val="18"/>
        </w:rPr>
        <w:t xml:space="preserve">such person is not U.S. shareholder or the foreign corporation is not a CFC. </w:t>
      </w:r>
      <w:r w:rsidR="00542940" w:rsidRPr="0068133F">
        <w:rPr>
          <w:rFonts w:cs="Times New Roman"/>
          <w:i/>
          <w:iCs/>
          <w:sz w:val="18"/>
          <w:szCs w:val="18"/>
        </w:rPr>
        <w:t xml:space="preserve">See </w:t>
      </w:r>
      <w:r w:rsidR="00F05FC8" w:rsidRPr="0068133F">
        <w:rPr>
          <w:rFonts w:cs="Times New Roman"/>
          <w:sz w:val="18"/>
          <w:szCs w:val="18"/>
        </w:rPr>
        <w:t>Prop. Reg. §1.367(b)-</w:t>
      </w:r>
      <w:r w:rsidR="00B27932" w:rsidRPr="0068133F">
        <w:rPr>
          <w:rFonts w:cs="Times New Roman"/>
          <w:sz w:val="18"/>
          <w:szCs w:val="18"/>
        </w:rPr>
        <w:t>2(b)(3)(i</w:t>
      </w:r>
      <w:r w:rsidR="00F05FC8" w:rsidRPr="0068133F">
        <w:rPr>
          <w:rFonts w:cs="Times New Roman"/>
          <w:sz w:val="18"/>
          <w:szCs w:val="18"/>
        </w:rPr>
        <w:t>) (1991).</w:t>
      </w:r>
      <w:r w:rsidR="00151821" w:rsidRPr="0068133F">
        <w:rPr>
          <w:rFonts w:cs="Times New Roman"/>
          <w:sz w:val="18"/>
          <w:szCs w:val="18"/>
        </w:rPr>
        <w:t xml:space="preserve"> </w:t>
      </w:r>
      <w:r w:rsidR="00895387" w:rsidRPr="0068133F">
        <w:rPr>
          <w:rFonts w:cs="Times New Roman"/>
          <w:sz w:val="18"/>
          <w:szCs w:val="18"/>
        </w:rPr>
        <w:t xml:space="preserve">The preamble indicates that this “clarified definition” would be </w:t>
      </w:r>
      <w:r w:rsidR="002623C6" w:rsidRPr="0068133F">
        <w:rPr>
          <w:rFonts w:cs="Times New Roman"/>
          <w:sz w:val="18"/>
          <w:szCs w:val="18"/>
        </w:rPr>
        <w:t>effective immediately</w:t>
      </w:r>
      <w:r w:rsidR="00895387" w:rsidRPr="0068133F">
        <w:rPr>
          <w:rFonts w:cs="Times New Roman"/>
          <w:sz w:val="18"/>
          <w:szCs w:val="18"/>
        </w:rPr>
        <w:t xml:space="preserve"> for exchanges that occur on after August 26, 1991. </w:t>
      </w:r>
      <w:r w:rsidR="00895387" w:rsidRPr="0068133F">
        <w:rPr>
          <w:rFonts w:cs="Times New Roman"/>
          <w:i/>
          <w:iCs/>
          <w:sz w:val="18"/>
          <w:szCs w:val="18"/>
        </w:rPr>
        <w:t>Se</w:t>
      </w:r>
      <w:r w:rsidR="00362300" w:rsidRPr="0068133F">
        <w:rPr>
          <w:rFonts w:cs="Times New Roman"/>
          <w:i/>
          <w:iCs/>
          <w:sz w:val="18"/>
          <w:szCs w:val="18"/>
        </w:rPr>
        <w:t>e also</w:t>
      </w:r>
      <w:r w:rsidR="00895387" w:rsidRPr="0068133F">
        <w:rPr>
          <w:rFonts w:cs="Times New Roman"/>
          <w:sz w:val="18"/>
          <w:szCs w:val="18"/>
        </w:rPr>
        <w:t xml:space="preserve"> </w:t>
      </w:r>
      <w:r w:rsidR="00362300" w:rsidRPr="0068133F">
        <w:rPr>
          <w:rFonts w:cs="Times New Roman"/>
          <w:sz w:val="18"/>
          <w:szCs w:val="18"/>
        </w:rPr>
        <w:t>Prop. Reg. §1.367(b)-</w:t>
      </w:r>
      <w:r w:rsidR="003A1F27" w:rsidRPr="0068133F">
        <w:rPr>
          <w:rFonts w:cs="Times New Roman"/>
          <w:sz w:val="18"/>
          <w:szCs w:val="18"/>
        </w:rPr>
        <w:t>2</w:t>
      </w:r>
      <w:r w:rsidR="00362300" w:rsidRPr="0068133F">
        <w:rPr>
          <w:rFonts w:cs="Times New Roman"/>
          <w:sz w:val="18"/>
          <w:szCs w:val="18"/>
        </w:rPr>
        <w:t>(d)(4) (1991).</w:t>
      </w:r>
      <w:r w:rsidR="00542940" w:rsidRPr="0068133F">
        <w:rPr>
          <w:rFonts w:cs="Times New Roman"/>
          <w:sz w:val="18"/>
          <w:szCs w:val="18"/>
        </w:rPr>
        <w:t xml:space="preserve"> Commentators</w:t>
      </w:r>
      <w:r w:rsidR="00A7312E" w:rsidRPr="0068133F">
        <w:rPr>
          <w:rFonts w:cs="Times New Roman"/>
          <w:sz w:val="18"/>
          <w:szCs w:val="18"/>
        </w:rPr>
        <w:t xml:space="preserve"> at the time</w:t>
      </w:r>
      <w:r w:rsidR="00542940" w:rsidRPr="0068133F">
        <w:rPr>
          <w:rFonts w:cs="Times New Roman"/>
          <w:sz w:val="18"/>
          <w:szCs w:val="18"/>
        </w:rPr>
        <w:t xml:space="preserve"> took umbrage with calling this a “clarification” of </w:t>
      </w:r>
      <w:r w:rsidR="002623C6" w:rsidRPr="0068133F">
        <w:rPr>
          <w:rFonts w:cs="Times New Roman"/>
          <w:sz w:val="18"/>
          <w:szCs w:val="18"/>
        </w:rPr>
        <w:t xml:space="preserve">the law </w:t>
      </w:r>
      <w:r w:rsidR="004C07FA" w:rsidRPr="0068133F">
        <w:rPr>
          <w:rFonts w:cs="Times New Roman"/>
          <w:sz w:val="18"/>
          <w:szCs w:val="18"/>
        </w:rPr>
        <w:t xml:space="preserve">as regards </w:t>
      </w:r>
      <w:r w:rsidR="009D06BA" w:rsidRPr="0068133F">
        <w:rPr>
          <w:rFonts w:cs="Times New Roman"/>
          <w:sz w:val="18"/>
          <w:szCs w:val="18"/>
        </w:rPr>
        <w:t>taking into account the E&amp;P of a foreign corporation while not a CFC</w:t>
      </w:r>
      <w:r w:rsidR="00A14C7E" w:rsidRPr="0068133F">
        <w:rPr>
          <w:rFonts w:cs="Times New Roman"/>
          <w:sz w:val="18"/>
          <w:szCs w:val="18"/>
        </w:rPr>
        <w:t xml:space="preserve">, </w:t>
      </w:r>
      <w:r w:rsidR="00B24B4A" w:rsidRPr="0068133F">
        <w:rPr>
          <w:rFonts w:cs="Times New Roman"/>
          <w:sz w:val="18"/>
          <w:szCs w:val="18"/>
        </w:rPr>
        <w:t xml:space="preserve">and </w:t>
      </w:r>
      <w:r w:rsidR="00E74E8A" w:rsidRPr="0068133F">
        <w:rPr>
          <w:rFonts w:cs="Times New Roman"/>
          <w:sz w:val="18"/>
          <w:szCs w:val="18"/>
        </w:rPr>
        <w:t xml:space="preserve">urged that this change should be effective on the general effective date of the proposed regulations. </w:t>
      </w:r>
      <w:r w:rsidR="00E74E8A" w:rsidRPr="0068133F">
        <w:rPr>
          <w:rFonts w:cs="Times New Roman"/>
          <w:i/>
          <w:iCs/>
          <w:sz w:val="18"/>
          <w:szCs w:val="18"/>
        </w:rPr>
        <w:t xml:space="preserve">See </w:t>
      </w:r>
      <w:r w:rsidR="0063657A" w:rsidRPr="0068133F">
        <w:rPr>
          <w:rFonts w:cs="Times New Roman"/>
          <w:sz w:val="18"/>
          <w:szCs w:val="18"/>
        </w:rPr>
        <w:t>New York State Bar Association</w:t>
      </w:r>
      <w:r w:rsidR="00F632CB" w:rsidRPr="0068133F">
        <w:rPr>
          <w:rFonts w:cs="Times New Roman"/>
          <w:sz w:val="18"/>
          <w:szCs w:val="18"/>
        </w:rPr>
        <w:t xml:space="preserve">, Report 707: </w:t>
      </w:r>
      <w:r w:rsidR="00A125AE" w:rsidRPr="0068133F">
        <w:rPr>
          <w:rFonts w:cs="Times New Roman"/>
          <w:sz w:val="18"/>
          <w:szCs w:val="18"/>
        </w:rPr>
        <w:t>Report on Proposed Section 367(a) and (b) Regulations</w:t>
      </w:r>
      <w:r w:rsidR="00A7312E" w:rsidRPr="0068133F">
        <w:rPr>
          <w:rFonts w:cs="Times New Roman"/>
          <w:sz w:val="18"/>
          <w:szCs w:val="18"/>
        </w:rPr>
        <w:t xml:space="preserve"> (“</w:t>
      </w:r>
      <w:r w:rsidR="00A7312E" w:rsidRPr="0068133F">
        <w:rPr>
          <w:rFonts w:cs="Times New Roman"/>
          <w:b/>
          <w:sz w:val="18"/>
          <w:szCs w:val="18"/>
        </w:rPr>
        <w:t xml:space="preserve">1992 NYSBA </w:t>
      </w:r>
      <w:r w:rsidR="00702E92">
        <w:rPr>
          <w:rFonts w:cs="Times New Roman"/>
          <w:b/>
          <w:sz w:val="18"/>
          <w:szCs w:val="18"/>
        </w:rPr>
        <w:t>r</w:t>
      </w:r>
      <w:r w:rsidR="00A7312E" w:rsidRPr="0068133F">
        <w:rPr>
          <w:rFonts w:cs="Times New Roman"/>
          <w:b/>
          <w:sz w:val="18"/>
          <w:szCs w:val="18"/>
        </w:rPr>
        <w:t>eport</w:t>
      </w:r>
      <w:r w:rsidR="00A7312E" w:rsidRPr="0068133F">
        <w:rPr>
          <w:rFonts w:cs="Times New Roman"/>
          <w:sz w:val="18"/>
          <w:szCs w:val="18"/>
        </w:rPr>
        <w:t>”)</w:t>
      </w:r>
      <w:r w:rsidR="00657D62" w:rsidRPr="0068133F">
        <w:rPr>
          <w:rFonts w:cs="Times New Roman"/>
          <w:sz w:val="18"/>
          <w:szCs w:val="18"/>
        </w:rPr>
        <w:t>, at 48 (</w:t>
      </w:r>
      <w:r w:rsidR="00AB1EF3" w:rsidRPr="0068133F">
        <w:rPr>
          <w:rFonts w:cs="Times New Roman"/>
          <w:sz w:val="18"/>
          <w:szCs w:val="18"/>
        </w:rPr>
        <w:t>Jan. 24, 1992)</w:t>
      </w:r>
      <w:r w:rsidR="00E74E8A" w:rsidRPr="0068133F">
        <w:rPr>
          <w:rFonts w:cs="Times New Roman"/>
          <w:sz w:val="18"/>
          <w:szCs w:val="18"/>
        </w:rPr>
        <w:t xml:space="preserve"> (“</w:t>
      </w:r>
      <w:r w:rsidR="00647B67" w:rsidRPr="0068133F">
        <w:rPr>
          <w:rFonts w:cs="Times New Roman"/>
          <w:sz w:val="18"/>
          <w:szCs w:val="18"/>
        </w:rPr>
        <w:t>We believe that the interpretation of the Proposed Regulations is inconsistent with that of most practitioners. Therefore, since this interpretation represents more of a change than a clarification, we believe that it should be effective at the same time as the Proposed Regulations are generally effective.”)</w:t>
      </w:r>
    </w:p>
  </w:footnote>
  <w:footnote w:id="68">
    <w:p w14:paraId="7243916B" w14:textId="05F65B72" w:rsidR="003024B9" w:rsidRPr="0068133F" w:rsidRDefault="003024B9"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56 Fed. Reg. </w:t>
      </w:r>
      <w:r w:rsidR="00C94713" w:rsidRPr="0068133F">
        <w:rPr>
          <w:rFonts w:cs="Times New Roman"/>
          <w:sz w:val="18"/>
          <w:szCs w:val="18"/>
        </w:rPr>
        <w:t>at</w:t>
      </w:r>
      <w:r w:rsidRPr="0068133F">
        <w:rPr>
          <w:rFonts w:cs="Times New Roman"/>
          <w:sz w:val="18"/>
          <w:szCs w:val="18"/>
        </w:rPr>
        <w:t xml:space="preserve"> 41996</w:t>
      </w:r>
      <w:r w:rsidR="009D6BB1" w:rsidRPr="0068133F">
        <w:rPr>
          <w:rFonts w:cs="Times New Roman"/>
          <w:sz w:val="18"/>
          <w:szCs w:val="18"/>
        </w:rPr>
        <w:t xml:space="preserve"> (Aug. 26, 1991)</w:t>
      </w:r>
      <w:r w:rsidRPr="0068133F">
        <w:rPr>
          <w:rFonts w:cs="Times New Roman"/>
          <w:sz w:val="18"/>
          <w:szCs w:val="18"/>
        </w:rPr>
        <w:t>.</w:t>
      </w:r>
    </w:p>
  </w:footnote>
  <w:footnote w:id="69">
    <w:p w14:paraId="1F169081" w14:textId="234832A2" w:rsidR="00857FEA" w:rsidRPr="0068133F" w:rsidRDefault="00857FEA"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Prop. Reg. §1.367(b)-3(b)(2)(iii)</w:t>
      </w:r>
      <w:r w:rsidR="006F17AC" w:rsidRPr="0068133F">
        <w:rPr>
          <w:rFonts w:cs="Times New Roman"/>
          <w:sz w:val="18"/>
          <w:szCs w:val="18"/>
        </w:rPr>
        <w:t xml:space="preserve">(A) </w:t>
      </w:r>
      <w:r w:rsidRPr="0068133F">
        <w:rPr>
          <w:rFonts w:cs="Times New Roman"/>
          <w:sz w:val="18"/>
          <w:szCs w:val="18"/>
        </w:rPr>
        <w:t>(1991).</w:t>
      </w:r>
    </w:p>
  </w:footnote>
  <w:footnote w:id="70">
    <w:p w14:paraId="08690965" w14:textId="54A31AF8" w:rsidR="002C3D9A" w:rsidRPr="0068133F" w:rsidRDefault="002C3D9A" w:rsidP="00E15AEF">
      <w:pPr>
        <w:pStyle w:val="FootnoteText"/>
        <w:spacing w:after="120"/>
        <w:rPr>
          <w:rFonts w:cs="Times New Roman"/>
          <w:i/>
          <w:iCs/>
          <w:sz w:val="18"/>
          <w:szCs w:val="18"/>
        </w:rPr>
      </w:pPr>
      <w:r w:rsidRPr="0068133F">
        <w:rPr>
          <w:rStyle w:val="FootnoteReference"/>
          <w:rFonts w:cs="Times New Roman"/>
          <w:sz w:val="18"/>
          <w:szCs w:val="18"/>
        </w:rPr>
        <w:footnoteRef/>
      </w:r>
      <w:r w:rsidR="006F17AC" w:rsidRPr="0068133F">
        <w:rPr>
          <w:rFonts w:cs="Times New Roman"/>
          <w:sz w:val="18"/>
          <w:szCs w:val="18"/>
        </w:rPr>
        <w:t xml:space="preserve"> </w:t>
      </w:r>
      <w:r w:rsidR="006F17AC" w:rsidRPr="0068133F">
        <w:rPr>
          <w:rFonts w:cs="Times New Roman"/>
          <w:i/>
          <w:iCs/>
          <w:sz w:val="18"/>
          <w:szCs w:val="18"/>
        </w:rPr>
        <w:t>Id.</w:t>
      </w:r>
    </w:p>
  </w:footnote>
  <w:footnote w:id="71">
    <w:p w14:paraId="3DA30C6B" w14:textId="5249C12E" w:rsidR="00DD1846" w:rsidRPr="0068133F" w:rsidRDefault="00DD184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Prop. Reg. §1.367(b)-3(</w:t>
      </w:r>
      <w:r w:rsidR="00D61E4B" w:rsidRPr="0068133F">
        <w:rPr>
          <w:rFonts w:cs="Times New Roman"/>
          <w:sz w:val="18"/>
          <w:szCs w:val="18"/>
        </w:rPr>
        <w:t>c</w:t>
      </w:r>
      <w:r w:rsidRPr="0068133F">
        <w:rPr>
          <w:rFonts w:cs="Times New Roman"/>
          <w:sz w:val="18"/>
          <w:szCs w:val="18"/>
        </w:rPr>
        <w:t>) (1991).</w:t>
      </w:r>
    </w:p>
  </w:footnote>
  <w:footnote w:id="72">
    <w:p w14:paraId="48717FA2" w14:textId="5408461D" w:rsidR="00C94713" w:rsidRPr="0068133F" w:rsidRDefault="00C94713"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56 Fed. Reg. at 41997</w:t>
      </w:r>
      <w:r w:rsidR="009D6BB1" w:rsidRPr="0068133F">
        <w:rPr>
          <w:rFonts w:cs="Times New Roman"/>
          <w:sz w:val="18"/>
          <w:szCs w:val="18"/>
        </w:rPr>
        <w:t xml:space="preserve"> (Aug. 26, 1991)</w:t>
      </w:r>
      <w:r w:rsidR="00DD1846" w:rsidRPr="0068133F">
        <w:rPr>
          <w:rFonts w:cs="Times New Roman"/>
          <w:sz w:val="18"/>
          <w:szCs w:val="18"/>
        </w:rPr>
        <w:t>.</w:t>
      </w:r>
    </w:p>
  </w:footnote>
  <w:footnote w:id="73">
    <w:p w14:paraId="3BB49E5A" w14:textId="4537AE3E" w:rsidR="00B40450" w:rsidRPr="0068133F" w:rsidRDefault="00B4045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AC60D3" w:rsidRPr="0068133F">
        <w:rPr>
          <w:rFonts w:cs="Times New Roman"/>
          <w:i/>
          <w:sz w:val="18"/>
          <w:szCs w:val="18"/>
        </w:rPr>
        <w:t>Id.</w:t>
      </w:r>
      <w:r w:rsidR="00AC60D3" w:rsidRPr="0068133F">
        <w:rPr>
          <w:rFonts w:cs="Times New Roman"/>
          <w:sz w:val="18"/>
          <w:szCs w:val="18"/>
        </w:rPr>
        <w:t xml:space="preserve"> at</w:t>
      </w:r>
      <w:r w:rsidRPr="0068133F">
        <w:rPr>
          <w:rFonts w:cs="Times New Roman"/>
          <w:sz w:val="18"/>
          <w:szCs w:val="18"/>
        </w:rPr>
        <w:t xml:space="preserve"> </w:t>
      </w:r>
      <w:r w:rsidR="00B43340" w:rsidRPr="0068133F">
        <w:rPr>
          <w:rFonts w:cs="Times New Roman"/>
          <w:sz w:val="18"/>
          <w:szCs w:val="18"/>
        </w:rPr>
        <w:t>41995.</w:t>
      </w:r>
    </w:p>
  </w:footnote>
  <w:footnote w:id="74">
    <w:p w14:paraId="0D656E33" w14:textId="13A6286A" w:rsidR="002A3877" w:rsidRPr="0068133F" w:rsidRDefault="002A3877" w:rsidP="00E15AEF">
      <w:pPr>
        <w:pStyle w:val="FootnoteText"/>
        <w:spacing w:after="120"/>
        <w:rPr>
          <w:rFonts w:cs="Times New Roman"/>
          <w:i/>
          <w:iCs/>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3B72FE" w:rsidRPr="0068133F">
        <w:rPr>
          <w:rFonts w:cs="Times New Roman"/>
          <w:sz w:val="18"/>
          <w:szCs w:val="18"/>
        </w:rPr>
        <w:t>Prop. Reg. §1.367(b)-</w:t>
      </w:r>
      <w:r w:rsidR="00CC77CD" w:rsidRPr="0068133F">
        <w:rPr>
          <w:rFonts w:cs="Times New Roman"/>
          <w:sz w:val="18"/>
          <w:szCs w:val="18"/>
        </w:rPr>
        <w:t>4</w:t>
      </w:r>
      <w:r w:rsidR="003B72FE" w:rsidRPr="0068133F">
        <w:rPr>
          <w:rFonts w:cs="Times New Roman"/>
          <w:sz w:val="18"/>
          <w:szCs w:val="18"/>
        </w:rPr>
        <w:t>(</w:t>
      </w:r>
      <w:r w:rsidR="00CC77CD" w:rsidRPr="0068133F">
        <w:rPr>
          <w:rFonts w:cs="Times New Roman"/>
          <w:sz w:val="18"/>
          <w:szCs w:val="18"/>
        </w:rPr>
        <w:t>b)(1</w:t>
      </w:r>
      <w:r w:rsidR="003B72FE" w:rsidRPr="0068133F">
        <w:rPr>
          <w:rFonts w:cs="Times New Roman"/>
          <w:sz w:val="18"/>
          <w:szCs w:val="18"/>
        </w:rPr>
        <w:t>) (1991).</w:t>
      </w:r>
    </w:p>
  </w:footnote>
  <w:footnote w:id="75">
    <w:p w14:paraId="6D369593" w14:textId="3EAFB2DC" w:rsidR="001669E0" w:rsidRPr="0068133F" w:rsidRDefault="001669E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T.D. 8862, 65 Fed. Reg. 3589, 3590</w:t>
      </w:r>
      <w:r w:rsidR="003B50D1" w:rsidRPr="0068133F">
        <w:rPr>
          <w:rFonts w:cs="Times New Roman"/>
          <w:sz w:val="18"/>
          <w:szCs w:val="18"/>
        </w:rPr>
        <w:t xml:space="preserve"> (</w:t>
      </w:r>
      <w:r w:rsidR="00AD07FF" w:rsidRPr="0068133F">
        <w:rPr>
          <w:rFonts w:cs="Times New Roman"/>
          <w:sz w:val="18"/>
          <w:szCs w:val="18"/>
        </w:rPr>
        <w:t>Jan. 24, 2000)</w:t>
      </w:r>
      <w:r w:rsidR="003B50D1" w:rsidRPr="0068133F">
        <w:rPr>
          <w:rFonts w:cs="Times New Roman"/>
          <w:sz w:val="18"/>
          <w:szCs w:val="18"/>
        </w:rPr>
        <w:t xml:space="preserve"> (emphasis added).</w:t>
      </w:r>
    </w:p>
  </w:footnote>
  <w:footnote w:id="76">
    <w:p w14:paraId="76FDA3A5" w14:textId="164BA200" w:rsidR="00B40450" w:rsidRPr="0068133F" w:rsidRDefault="00B4045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7D7695" w:rsidRPr="0068133F">
        <w:rPr>
          <w:rFonts w:cs="Times New Roman"/>
          <w:i/>
          <w:sz w:val="18"/>
          <w:szCs w:val="18"/>
        </w:rPr>
        <w:t>Id</w:t>
      </w:r>
      <w:r w:rsidR="007D7695" w:rsidRPr="0068133F">
        <w:rPr>
          <w:rFonts w:cs="Times New Roman"/>
          <w:sz w:val="18"/>
          <w:szCs w:val="18"/>
        </w:rPr>
        <w:t>.</w:t>
      </w:r>
      <w:r w:rsidRPr="0068133F">
        <w:rPr>
          <w:rFonts w:cs="Times New Roman"/>
          <w:sz w:val="18"/>
          <w:szCs w:val="18"/>
        </w:rPr>
        <w:t xml:space="preserve"> </w:t>
      </w:r>
    </w:p>
  </w:footnote>
  <w:footnote w:id="77">
    <w:p w14:paraId="050991C6" w14:textId="77777777" w:rsidR="0064586F" w:rsidRPr="0068133F" w:rsidRDefault="0064586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Id</w:t>
      </w:r>
      <w:r w:rsidRPr="0068133F">
        <w:rPr>
          <w:rFonts w:cs="Times New Roman"/>
          <w:sz w:val="18"/>
          <w:szCs w:val="18"/>
        </w:rPr>
        <w:t xml:space="preserve">. </w:t>
      </w:r>
    </w:p>
  </w:footnote>
  <w:footnote w:id="78">
    <w:p w14:paraId="6AD24D33" w14:textId="7EB4B1B0" w:rsidR="00307CB8" w:rsidRPr="0068133F" w:rsidRDefault="00307CB8"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64058C" w:rsidRPr="0068133F">
        <w:rPr>
          <w:rFonts w:cs="Times New Roman"/>
          <w:sz w:val="18"/>
          <w:szCs w:val="18"/>
        </w:rPr>
        <w:t xml:space="preserve">56 Fed. Reg. </w:t>
      </w:r>
      <w:r w:rsidR="00520BC9" w:rsidRPr="0068133F">
        <w:rPr>
          <w:rFonts w:cs="Times New Roman"/>
          <w:sz w:val="18"/>
          <w:szCs w:val="18"/>
        </w:rPr>
        <w:t xml:space="preserve">at </w:t>
      </w:r>
      <w:r w:rsidR="0064058C" w:rsidRPr="0068133F">
        <w:rPr>
          <w:rFonts w:cs="Times New Roman"/>
          <w:sz w:val="18"/>
          <w:szCs w:val="18"/>
        </w:rPr>
        <w:t>4199</w:t>
      </w:r>
      <w:r w:rsidR="00520BC9" w:rsidRPr="0068133F">
        <w:rPr>
          <w:rFonts w:cs="Times New Roman"/>
          <w:sz w:val="18"/>
          <w:szCs w:val="18"/>
        </w:rPr>
        <w:t>7</w:t>
      </w:r>
      <w:r w:rsidR="00AD07FF" w:rsidRPr="0068133F">
        <w:rPr>
          <w:rFonts w:cs="Times New Roman"/>
          <w:sz w:val="18"/>
          <w:szCs w:val="18"/>
        </w:rPr>
        <w:t xml:space="preserve"> (Aug. 26, 1991)</w:t>
      </w:r>
      <w:r w:rsidR="0064058C" w:rsidRPr="0068133F">
        <w:rPr>
          <w:rFonts w:cs="Times New Roman"/>
          <w:sz w:val="18"/>
          <w:szCs w:val="18"/>
        </w:rPr>
        <w:t>.</w:t>
      </w:r>
    </w:p>
  </w:footnote>
  <w:footnote w:id="79">
    <w:p w14:paraId="59376E51" w14:textId="5E1EF5A7" w:rsidR="00770182" w:rsidRPr="0068133F" w:rsidRDefault="00770182"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Prop. §1.367(b)-3(b)(2)(iii) (1991)</w:t>
      </w:r>
      <w:r w:rsidR="00A93615" w:rsidRPr="0068133F">
        <w:rPr>
          <w:rFonts w:cs="Times New Roman"/>
          <w:sz w:val="18"/>
          <w:szCs w:val="18"/>
        </w:rPr>
        <w:t>.</w:t>
      </w:r>
    </w:p>
  </w:footnote>
  <w:footnote w:id="80">
    <w:p w14:paraId="1259FB58" w14:textId="2374680E" w:rsidR="00D90F31" w:rsidRPr="0068133F" w:rsidRDefault="00D90F3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A93615" w:rsidRPr="0068133F">
        <w:rPr>
          <w:rFonts w:cs="Times New Roman"/>
          <w:sz w:val="18"/>
          <w:szCs w:val="18"/>
        </w:rPr>
        <w:t>T.D. 8862, 65 Fed. Reg. 3589, 3592</w:t>
      </w:r>
      <w:r w:rsidR="00AD07FF" w:rsidRPr="0068133F">
        <w:rPr>
          <w:rFonts w:cs="Times New Roman"/>
          <w:sz w:val="18"/>
          <w:szCs w:val="18"/>
        </w:rPr>
        <w:t xml:space="preserve"> (Jan. 24, 2000)</w:t>
      </w:r>
      <w:r w:rsidR="00A93615" w:rsidRPr="0068133F">
        <w:rPr>
          <w:rFonts w:cs="Times New Roman"/>
          <w:sz w:val="18"/>
          <w:szCs w:val="18"/>
        </w:rPr>
        <w:t>.</w:t>
      </w:r>
    </w:p>
  </w:footnote>
  <w:footnote w:id="81">
    <w:p w14:paraId="64596C6A" w14:textId="7610EDD5" w:rsidR="00A93615" w:rsidRPr="0068133F" w:rsidRDefault="00A9361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Id.</w:t>
      </w:r>
    </w:p>
  </w:footnote>
  <w:footnote w:id="82">
    <w:p w14:paraId="03FE423C" w14:textId="77777777" w:rsidR="002E408E" w:rsidRPr="0068133F" w:rsidRDefault="002E408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Prop. Reg. §1.367(b)-3(b)(2)(iii)(A) (1991).</w:t>
      </w:r>
    </w:p>
  </w:footnote>
  <w:footnote w:id="83">
    <w:p w14:paraId="4D10EAF4" w14:textId="6E928DD9" w:rsidR="002E408E" w:rsidRPr="0068133F" w:rsidRDefault="002E408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65 Fed. Reg. </w:t>
      </w:r>
      <w:r w:rsidR="00555CCA" w:rsidRPr="0068133F">
        <w:rPr>
          <w:rFonts w:cs="Times New Roman"/>
          <w:sz w:val="18"/>
          <w:szCs w:val="18"/>
        </w:rPr>
        <w:t>3589,</w:t>
      </w:r>
      <w:r w:rsidRPr="0068133F">
        <w:rPr>
          <w:rFonts w:cs="Times New Roman"/>
          <w:sz w:val="18"/>
          <w:szCs w:val="18"/>
        </w:rPr>
        <w:t xml:space="preserve"> </w:t>
      </w:r>
      <w:r w:rsidR="006A7D69" w:rsidRPr="0068133F">
        <w:rPr>
          <w:rFonts w:cs="Times New Roman"/>
          <w:sz w:val="18"/>
          <w:szCs w:val="18"/>
        </w:rPr>
        <w:t>3593</w:t>
      </w:r>
      <w:r w:rsidR="00050D89" w:rsidRPr="0068133F">
        <w:rPr>
          <w:rFonts w:cs="Times New Roman"/>
          <w:sz w:val="18"/>
          <w:szCs w:val="18"/>
        </w:rPr>
        <w:t xml:space="preserve"> (Jan. 24, 2000)</w:t>
      </w:r>
      <w:r w:rsidR="006A7D69" w:rsidRPr="0068133F">
        <w:rPr>
          <w:rFonts w:cs="Times New Roman"/>
          <w:sz w:val="18"/>
          <w:szCs w:val="18"/>
        </w:rPr>
        <w:t>.</w:t>
      </w:r>
    </w:p>
  </w:footnote>
  <w:footnote w:id="84">
    <w:p w14:paraId="473EE1A5" w14:textId="77777777" w:rsidR="006A7D69" w:rsidRPr="0068133F" w:rsidRDefault="006A7D69"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Id.</w:t>
      </w:r>
    </w:p>
  </w:footnote>
  <w:footnote w:id="85">
    <w:p w14:paraId="190D68ED" w14:textId="634874D8" w:rsidR="006A7D69" w:rsidRPr="0068133F" w:rsidRDefault="006A7D69"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§1.367(b)-3</w:t>
      </w:r>
      <w:r w:rsidR="00BD3581" w:rsidRPr="0068133F">
        <w:rPr>
          <w:rFonts w:cs="Times New Roman"/>
          <w:sz w:val="18"/>
          <w:szCs w:val="18"/>
        </w:rPr>
        <w:t>(c)(3).</w:t>
      </w:r>
    </w:p>
  </w:footnote>
  <w:footnote w:id="86">
    <w:p w14:paraId="45BA0477" w14:textId="77777777" w:rsidR="00BD3581" w:rsidRPr="0068133F" w:rsidRDefault="00BD358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Prop. Reg. §1.367(b)-3(b)(2)(iii)(A) (1991).</w:t>
      </w:r>
    </w:p>
  </w:footnote>
  <w:footnote w:id="87">
    <w:p w14:paraId="062486D4" w14:textId="5DE175FE" w:rsidR="00A46F14" w:rsidRPr="0068133F" w:rsidRDefault="00A46F14"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 xml:space="preserve">See </w:t>
      </w:r>
      <w:r w:rsidRPr="0068133F">
        <w:rPr>
          <w:rFonts w:cs="Times New Roman"/>
          <w:sz w:val="18"/>
          <w:szCs w:val="18"/>
        </w:rPr>
        <w:t>T.D. 9273, 71 Fed. Reg. 44887, 44888 (Aug. 8. 2006).</w:t>
      </w:r>
    </w:p>
  </w:footnote>
  <w:footnote w:id="88">
    <w:p w14:paraId="4C4B287B" w14:textId="77777777" w:rsidR="00C471F9" w:rsidRPr="0068133F" w:rsidRDefault="00C471F9"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w:t>
      </w:r>
      <w:r w:rsidR="00FF2AAC" w:rsidRPr="0068133F">
        <w:rPr>
          <w:rFonts w:cs="Times New Roman"/>
          <w:sz w:val="18"/>
          <w:szCs w:val="18"/>
        </w:rPr>
        <w:t>1.367(b)-3(</w:t>
      </w:r>
      <w:r w:rsidR="00B94D98" w:rsidRPr="0068133F">
        <w:rPr>
          <w:rFonts w:cs="Times New Roman"/>
          <w:sz w:val="18"/>
          <w:szCs w:val="18"/>
        </w:rPr>
        <w:t>a).</w:t>
      </w:r>
    </w:p>
  </w:footnote>
  <w:footnote w:id="89">
    <w:p w14:paraId="00391EE8" w14:textId="77777777" w:rsidR="00FA544A" w:rsidRPr="0068133F" w:rsidRDefault="00FA544A"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§1.367(b)-3(e), (f)(1).</w:t>
      </w:r>
    </w:p>
  </w:footnote>
  <w:footnote w:id="90">
    <w:p w14:paraId="2A2973E4" w14:textId="45C235CF" w:rsidR="001205C4" w:rsidRPr="0068133F" w:rsidRDefault="001205C4"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§1.367(b)-3(</w:t>
      </w:r>
      <w:r w:rsidR="00F83C7A" w:rsidRPr="0068133F">
        <w:rPr>
          <w:rFonts w:cs="Times New Roman"/>
          <w:sz w:val="18"/>
          <w:szCs w:val="18"/>
        </w:rPr>
        <w:t>b</w:t>
      </w:r>
      <w:r w:rsidRPr="0068133F">
        <w:rPr>
          <w:rFonts w:cs="Times New Roman"/>
          <w:sz w:val="18"/>
          <w:szCs w:val="18"/>
        </w:rPr>
        <w:t>)</w:t>
      </w:r>
      <w:r w:rsidR="0079594E" w:rsidRPr="0068133F">
        <w:rPr>
          <w:rFonts w:cs="Times New Roman"/>
          <w:sz w:val="18"/>
          <w:szCs w:val="18"/>
        </w:rPr>
        <w:t>(3)(i)</w:t>
      </w:r>
      <w:r w:rsidRPr="0068133F">
        <w:rPr>
          <w:rFonts w:cs="Times New Roman"/>
          <w:sz w:val="18"/>
          <w:szCs w:val="18"/>
        </w:rPr>
        <w:t>.</w:t>
      </w:r>
    </w:p>
  </w:footnote>
  <w:footnote w:id="91">
    <w:p w14:paraId="1CAEEDFE" w14:textId="11A2F9BF" w:rsidR="00B07850" w:rsidRPr="0068133F" w:rsidRDefault="00B0785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§1.367(b)-3(d)(1).</w:t>
      </w:r>
    </w:p>
  </w:footnote>
  <w:footnote w:id="92">
    <w:p w14:paraId="2F7160C1" w14:textId="3E158843" w:rsidR="00077E34" w:rsidRPr="0068133F" w:rsidRDefault="00077E34"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§1.367(b)-2(d)(2)</w:t>
      </w:r>
      <w:r w:rsidR="00B47DED" w:rsidRPr="0068133F">
        <w:rPr>
          <w:rFonts w:cs="Times New Roman"/>
          <w:sz w:val="18"/>
          <w:szCs w:val="18"/>
        </w:rPr>
        <w:t>.</w:t>
      </w:r>
    </w:p>
  </w:footnote>
  <w:footnote w:id="93">
    <w:p w14:paraId="6C35FDE5" w14:textId="3B7D1610" w:rsidR="00B07850" w:rsidRPr="0068133F" w:rsidRDefault="00B0785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§1.367(b)-2(d)(3).</w:t>
      </w:r>
    </w:p>
  </w:footnote>
  <w:footnote w:id="94">
    <w:p w14:paraId="6B29D661" w14:textId="77777777" w:rsidR="00943787" w:rsidRPr="0068133F" w:rsidRDefault="00943787"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§1.367(b)-3(b)(3)(i)(B).</w:t>
      </w:r>
    </w:p>
  </w:footnote>
  <w:footnote w:id="95">
    <w:p w14:paraId="6C899C7A" w14:textId="3853875E" w:rsidR="009B6259" w:rsidRPr="0068133F" w:rsidRDefault="009B6259"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§1.367(b)-3</w:t>
      </w:r>
      <w:r w:rsidR="004D04AC" w:rsidRPr="0068133F">
        <w:rPr>
          <w:rFonts w:cs="Times New Roman"/>
          <w:sz w:val="18"/>
          <w:szCs w:val="18"/>
        </w:rPr>
        <w:t>(c)(2).</w:t>
      </w:r>
    </w:p>
  </w:footnote>
  <w:footnote w:id="96">
    <w:p w14:paraId="610E9C6C" w14:textId="2B653321" w:rsidR="00881A7A" w:rsidRPr="0068133F" w:rsidRDefault="00881A7A"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§1.367(b)-3(c)(3).</w:t>
      </w:r>
    </w:p>
  </w:footnote>
  <w:footnote w:id="97">
    <w:p w14:paraId="49369F0A" w14:textId="17EA5237" w:rsidR="00C661AF" w:rsidRPr="0068133F" w:rsidRDefault="00C661A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5F7692" w:rsidRPr="0068133F">
        <w:rPr>
          <w:rFonts w:cs="Times New Roman"/>
          <w:sz w:val="18"/>
          <w:szCs w:val="18"/>
        </w:rPr>
        <w:t>Reg. §1.367(b)-3(c)(4). Note that under the</w:t>
      </w:r>
      <w:r w:rsidR="005F7692" w:rsidRPr="0068133F" w:rsidDel="000829A8">
        <w:rPr>
          <w:rFonts w:cs="Times New Roman"/>
          <w:sz w:val="18"/>
          <w:szCs w:val="18"/>
        </w:rPr>
        <w:t xml:space="preserve"> </w:t>
      </w:r>
      <w:r w:rsidR="005F7692" w:rsidRPr="0068133F">
        <w:rPr>
          <w:rFonts w:cs="Times New Roman"/>
          <w:sz w:val="18"/>
          <w:szCs w:val="18"/>
        </w:rPr>
        <w:t xml:space="preserve">proposed regulations, all </w:t>
      </w:r>
      <w:r w:rsidR="00D224CB" w:rsidRPr="0068133F">
        <w:rPr>
          <w:rFonts w:cs="Times New Roman"/>
          <w:sz w:val="18"/>
          <w:szCs w:val="18"/>
        </w:rPr>
        <w:t>small</w:t>
      </w:r>
      <w:r w:rsidR="005F7692" w:rsidRPr="0068133F">
        <w:rPr>
          <w:rFonts w:cs="Times New Roman"/>
          <w:sz w:val="18"/>
          <w:szCs w:val="18"/>
        </w:rPr>
        <w:t xml:space="preserve"> shareholder</w:t>
      </w:r>
      <w:r w:rsidR="00D224CB" w:rsidRPr="0068133F">
        <w:rPr>
          <w:rFonts w:cs="Times New Roman"/>
          <w:sz w:val="18"/>
          <w:szCs w:val="18"/>
        </w:rPr>
        <w:t>s</w:t>
      </w:r>
      <w:r w:rsidR="005F7692" w:rsidRPr="0068133F">
        <w:rPr>
          <w:rFonts w:cs="Times New Roman"/>
          <w:sz w:val="18"/>
          <w:szCs w:val="18"/>
        </w:rPr>
        <w:t xml:space="preserve"> were required to recognize gain. The</w:t>
      </w:r>
      <w:r w:rsidR="000829A8" w:rsidRPr="0068133F">
        <w:rPr>
          <w:rFonts w:cs="Times New Roman"/>
          <w:sz w:val="18"/>
          <w:szCs w:val="18"/>
        </w:rPr>
        <w:t xml:space="preserve"> </w:t>
      </w:r>
      <w:r w:rsidR="005F7692" w:rsidRPr="0068133F">
        <w:rPr>
          <w:rFonts w:cs="Times New Roman"/>
          <w:sz w:val="18"/>
          <w:szCs w:val="18"/>
        </w:rPr>
        <w:t xml:space="preserve">final regulations </w:t>
      </w:r>
      <w:r w:rsidR="003C614E" w:rsidRPr="0068133F">
        <w:rPr>
          <w:rFonts w:cs="Times New Roman"/>
          <w:sz w:val="18"/>
          <w:szCs w:val="18"/>
        </w:rPr>
        <w:t>added both the all E&amp;P</w:t>
      </w:r>
      <w:r w:rsidR="00D30312" w:rsidRPr="0068133F">
        <w:rPr>
          <w:rFonts w:cs="Times New Roman"/>
          <w:sz w:val="18"/>
          <w:szCs w:val="18"/>
        </w:rPr>
        <w:t xml:space="preserve"> election</w:t>
      </w:r>
      <w:r w:rsidR="003C614E" w:rsidRPr="0068133F">
        <w:rPr>
          <w:rFonts w:cs="Times New Roman"/>
          <w:sz w:val="18"/>
          <w:szCs w:val="18"/>
        </w:rPr>
        <w:t xml:space="preserve"> and the </w:t>
      </w:r>
      <w:r w:rsidR="003C614E" w:rsidRPr="0068133F">
        <w:rPr>
          <w:rFonts w:cs="Times New Roman"/>
          <w:i/>
          <w:sz w:val="18"/>
          <w:szCs w:val="18"/>
        </w:rPr>
        <w:t>de minimis</w:t>
      </w:r>
      <w:r w:rsidR="003C614E" w:rsidRPr="0068133F">
        <w:rPr>
          <w:rFonts w:cs="Times New Roman"/>
          <w:sz w:val="18"/>
          <w:szCs w:val="18"/>
        </w:rPr>
        <w:t xml:space="preserve"> exception.</w:t>
      </w:r>
    </w:p>
  </w:footnote>
  <w:footnote w:id="98">
    <w:p w14:paraId="78E6E459" w14:textId="2B7A4AA2" w:rsidR="004D73D3" w:rsidRPr="0068133F" w:rsidRDefault="004D73D3"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§1.367(b)-4(</w:t>
      </w:r>
      <w:r w:rsidR="00811B93" w:rsidRPr="0068133F">
        <w:rPr>
          <w:rFonts w:cs="Times New Roman"/>
          <w:sz w:val="18"/>
          <w:szCs w:val="18"/>
        </w:rPr>
        <w:t>a</w:t>
      </w:r>
      <w:r w:rsidRPr="0068133F">
        <w:rPr>
          <w:rFonts w:cs="Times New Roman"/>
          <w:sz w:val="18"/>
          <w:szCs w:val="18"/>
        </w:rPr>
        <w:t>).</w:t>
      </w:r>
      <w:r w:rsidR="0039175B" w:rsidRPr="0068133F">
        <w:rPr>
          <w:rFonts w:cs="Times New Roman"/>
          <w:sz w:val="18"/>
          <w:szCs w:val="18"/>
        </w:rPr>
        <w:t xml:space="preserve"> This rule does not apply to transfers of stock of a foreign corporation by a 1248 shareholder</w:t>
      </w:r>
      <w:r w:rsidR="00126209" w:rsidRPr="0068133F">
        <w:rPr>
          <w:rFonts w:cs="Times New Roman"/>
          <w:sz w:val="18"/>
          <w:szCs w:val="18"/>
        </w:rPr>
        <w:t xml:space="preserve"> to a domestic corporation. In that case, the domestic corporation inherits the 1248 E&amp;P with respect to the foreign acquired corporation under </w:t>
      </w:r>
      <w:r w:rsidR="00197658" w:rsidRPr="0068133F">
        <w:rPr>
          <w:rFonts w:cs="Times New Roman"/>
          <w:sz w:val="18"/>
          <w:szCs w:val="18"/>
        </w:rPr>
        <w:t>Reg. §</w:t>
      </w:r>
      <w:r w:rsidR="00126209" w:rsidRPr="0068133F">
        <w:rPr>
          <w:rFonts w:cs="Times New Roman"/>
          <w:sz w:val="18"/>
          <w:szCs w:val="18"/>
        </w:rPr>
        <w:t xml:space="preserve">1.1248-8. </w:t>
      </w:r>
    </w:p>
  </w:footnote>
  <w:footnote w:id="99">
    <w:p w14:paraId="5AAF6F73" w14:textId="6DFB16F9" w:rsidR="000C3676" w:rsidRPr="0068133F" w:rsidRDefault="000C367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B81081" w:rsidRPr="0068133F">
        <w:rPr>
          <w:rFonts w:cs="Times New Roman"/>
          <w:sz w:val="18"/>
          <w:szCs w:val="18"/>
        </w:rPr>
        <w:t>Reg. §1.367(b)-4(a), 1.367(b)-4(b).</w:t>
      </w:r>
    </w:p>
  </w:footnote>
  <w:footnote w:id="100">
    <w:p w14:paraId="15D8105B" w14:textId="4E171267" w:rsidR="00B81081" w:rsidRPr="0068133F" w:rsidRDefault="00B8108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441D59" w:rsidRPr="0068133F">
        <w:rPr>
          <w:rFonts w:cs="Times New Roman"/>
          <w:sz w:val="18"/>
          <w:szCs w:val="18"/>
        </w:rPr>
        <w:t>Reg. §1.367(b)-4(b)(1)-(3).</w:t>
      </w:r>
    </w:p>
  </w:footnote>
  <w:footnote w:id="101">
    <w:p w14:paraId="45D00F4A" w14:textId="3673479B" w:rsidR="00D544F6" w:rsidRPr="0068133F" w:rsidRDefault="00D544F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bookmarkStart w:id="10" w:name="_Hlk117198970"/>
      <w:r w:rsidR="001E1976" w:rsidRPr="0068133F">
        <w:rPr>
          <w:rFonts w:cs="Times New Roman"/>
          <w:sz w:val="18"/>
          <w:szCs w:val="18"/>
        </w:rPr>
        <w:t>Reg. §1.367(b)-2(c).</w:t>
      </w:r>
      <w:bookmarkEnd w:id="10"/>
    </w:p>
  </w:footnote>
  <w:footnote w:id="102">
    <w:p w14:paraId="255188F4" w14:textId="39CD70E9" w:rsidR="003C5BDF" w:rsidRPr="0068133F" w:rsidRDefault="003C5BD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B13FA8" w:rsidRPr="0068133F">
        <w:rPr>
          <w:rFonts w:cs="Times New Roman"/>
          <w:sz w:val="18"/>
          <w:szCs w:val="18"/>
        </w:rPr>
        <w:t>Code Sec. 1248(a)(2), (c)(2).</w:t>
      </w:r>
    </w:p>
  </w:footnote>
  <w:footnote w:id="103">
    <w:p w14:paraId="2E21A6A8" w14:textId="2E77B31D" w:rsidR="00B13FA8" w:rsidRPr="0068133F" w:rsidRDefault="00B13FA8"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E672E4" w:rsidRPr="0068133F">
        <w:rPr>
          <w:rFonts w:cs="Times New Roman"/>
          <w:sz w:val="18"/>
          <w:szCs w:val="18"/>
        </w:rPr>
        <w:t>Reg. §1.367(b)-4(b)(1).</w:t>
      </w:r>
    </w:p>
  </w:footnote>
  <w:footnote w:id="104">
    <w:p w14:paraId="71D842EC" w14:textId="6DC241CD" w:rsidR="003A24E1" w:rsidRPr="0068133F" w:rsidRDefault="003A24E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§1.367(b)-4(c).</w:t>
      </w:r>
      <w:r w:rsidR="00D4075C" w:rsidRPr="0068133F">
        <w:rPr>
          <w:rFonts w:cs="Times New Roman"/>
          <w:sz w:val="18"/>
          <w:szCs w:val="18"/>
        </w:rPr>
        <w:t xml:space="preserve"> The preamble to the final regulations </w:t>
      </w:r>
      <w:r w:rsidR="00D821AD" w:rsidRPr="0068133F">
        <w:rPr>
          <w:rFonts w:cs="Times New Roman"/>
          <w:sz w:val="18"/>
          <w:szCs w:val="18"/>
        </w:rPr>
        <w:t xml:space="preserve">noted that </w:t>
      </w:r>
      <w:r w:rsidR="00AD1EF3" w:rsidRPr="0068133F">
        <w:rPr>
          <w:rFonts w:cs="Times New Roman"/>
          <w:sz w:val="18"/>
          <w:szCs w:val="18"/>
        </w:rPr>
        <w:t xml:space="preserve">the proposed regulations </w:t>
      </w:r>
      <w:r w:rsidR="00C31C4C" w:rsidRPr="0068133F">
        <w:rPr>
          <w:rFonts w:cs="Times New Roman"/>
          <w:sz w:val="18"/>
          <w:szCs w:val="18"/>
        </w:rPr>
        <w:t>in general</w:t>
      </w:r>
      <w:r w:rsidR="00AD1EF3" w:rsidRPr="0068133F">
        <w:rPr>
          <w:rFonts w:cs="Times New Roman"/>
          <w:sz w:val="18"/>
          <w:szCs w:val="18"/>
        </w:rPr>
        <w:t xml:space="preserve"> did not require an income inclusion </w:t>
      </w:r>
      <w:r w:rsidR="003B7923" w:rsidRPr="0068133F">
        <w:rPr>
          <w:rFonts w:cs="Times New Roman"/>
          <w:sz w:val="18"/>
          <w:szCs w:val="18"/>
        </w:rPr>
        <w:t xml:space="preserve">when a 1248 shareholder </w:t>
      </w:r>
      <w:r w:rsidR="00C31C4C" w:rsidRPr="0068133F">
        <w:rPr>
          <w:rFonts w:cs="Times New Roman"/>
          <w:sz w:val="18"/>
          <w:szCs w:val="18"/>
        </w:rPr>
        <w:t>retain</w:t>
      </w:r>
      <w:r w:rsidR="00DE7688" w:rsidRPr="0068133F">
        <w:rPr>
          <w:rFonts w:cs="Times New Roman"/>
          <w:sz w:val="18"/>
          <w:szCs w:val="18"/>
        </w:rPr>
        <w:t>ed</w:t>
      </w:r>
      <w:r w:rsidR="00C31C4C" w:rsidRPr="0068133F">
        <w:rPr>
          <w:rFonts w:cs="Times New Roman"/>
          <w:sz w:val="18"/>
          <w:szCs w:val="18"/>
        </w:rPr>
        <w:t xml:space="preserve"> its status</w:t>
      </w:r>
      <w:r w:rsidR="00DF0617" w:rsidRPr="0068133F">
        <w:rPr>
          <w:rFonts w:cs="Times New Roman"/>
          <w:sz w:val="18"/>
          <w:szCs w:val="18"/>
        </w:rPr>
        <w:t xml:space="preserve">. </w:t>
      </w:r>
      <w:r w:rsidR="00F74DDE" w:rsidRPr="0068133F">
        <w:rPr>
          <w:rFonts w:cs="Times New Roman"/>
          <w:sz w:val="18"/>
          <w:szCs w:val="18"/>
        </w:rPr>
        <w:t xml:space="preserve">Where the exchanging shareholder </w:t>
      </w:r>
      <w:r w:rsidR="00B07BBF" w:rsidRPr="0068133F">
        <w:rPr>
          <w:rFonts w:cs="Times New Roman"/>
          <w:sz w:val="18"/>
          <w:szCs w:val="18"/>
        </w:rPr>
        <w:t>was a foreign corporation (</w:t>
      </w:r>
      <w:r w:rsidR="00B07BBF" w:rsidRPr="0068133F">
        <w:rPr>
          <w:rFonts w:cs="Times New Roman"/>
          <w:i/>
          <w:sz w:val="18"/>
          <w:szCs w:val="18"/>
        </w:rPr>
        <w:t>i.e.</w:t>
      </w:r>
      <w:r w:rsidR="00B07BBF" w:rsidRPr="0068133F">
        <w:rPr>
          <w:rFonts w:cs="Times New Roman"/>
          <w:sz w:val="18"/>
          <w:szCs w:val="18"/>
        </w:rPr>
        <w:t xml:space="preserve">, a lower-tier transaction), </w:t>
      </w:r>
      <w:r w:rsidR="0063361E" w:rsidRPr="0068133F">
        <w:rPr>
          <w:rFonts w:cs="Times New Roman"/>
          <w:sz w:val="18"/>
          <w:szCs w:val="18"/>
        </w:rPr>
        <w:t xml:space="preserve">the 1248 amount </w:t>
      </w:r>
      <w:r w:rsidR="00B90EB4" w:rsidRPr="0068133F">
        <w:rPr>
          <w:rFonts w:cs="Times New Roman"/>
          <w:sz w:val="18"/>
          <w:szCs w:val="18"/>
        </w:rPr>
        <w:t xml:space="preserve">was not included in subpart F as </w:t>
      </w:r>
      <w:r w:rsidR="005A2CF2" w:rsidRPr="0068133F">
        <w:rPr>
          <w:rFonts w:cs="Times New Roman"/>
          <w:sz w:val="18"/>
          <w:szCs w:val="18"/>
        </w:rPr>
        <w:t xml:space="preserve">FPHCI because </w:t>
      </w:r>
      <w:r w:rsidR="00827024" w:rsidRPr="0068133F">
        <w:rPr>
          <w:rFonts w:cs="Times New Roman"/>
          <w:sz w:val="18"/>
          <w:szCs w:val="18"/>
        </w:rPr>
        <w:t xml:space="preserve">“this provision permitted deferral of the section 1248 amount by preserving such earnings and profits as earnings and profits of the foreign corporation that is the exchanging shareholder.” </w:t>
      </w:r>
      <w:r w:rsidR="002D1446" w:rsidRPr="0068133F">
        <w:rPr>
          <w:rFonts w:cs="Times New Roman"/>
          <w:sz w:val="18"/>
          <w:szCs w:val="18"/>
        </w:rPr>
        <w:t xml:space="preserve">T.D. 8862, 65 Fed. Reg. </w:t>
      </w:r>
      <w:r w:rsidR="004A70C6" w:rsidRPr="0068133F">
        <w:rPr>
          <w:rFonts w:cs="Times New Roman"/>
          <w:sz w:val="18"/>
          <w:szCs w:val="18"/>
        </w:rPr>
        <w:t>3589, 3593 (</w:t>
      </w:r>
      <w:r w:rsidR="00507F0A" w:rsidRPr="0068133F">
        <w:rPr>
          <w:rFonts w:cs="Times New Roman"/>
          <w:sz w:val="18"/>
          <w:szCs w:val="18"/>
        </w:rPr>
        <w:t>Jan</w:t>
      </w:r>
      <w:r w:rsidR="005C32D3" w:rsidRPr="0068133F">
        <w:rPr>
          <w:rFonts w:cs="Times New Roman"/>
          <w:sz w:val="18"/>
          <w:szCs w:val="18"/>
        </w:rPr>
        <w:t>.</w:t>
      </w:r>
      <w:r w:rsidR="00507F0A" w:rsidRPr="0068133F">
        <w:rPr>
          <w:rFonts w:cs="Times New Roman"/>
          <w:sz w:val="18"/>
          <w:szCs w:val="18"/>
        </w:rPr>
        <w:t xml:space="preserve"> 24, 2000). </w:t>
      </w:r>
      <w:r w:rsidR="001C5BD8" w:rsidRPr="0068133F">
        <w:rPr>
          <w:rFonts w:cs="Times New Roman"/>
          <w:sz w:val="18"/>
          <w:szCs w:val="18"/>
        </w:rPr>
        <w:t xml:space="preserve">The final regulations retained this rule. </w:t>
      </w:r>
    </w:p>
  </w:footnote>
  <w:footnote w:id="105">
    <w:p w14:paraId="108C49DA" w14:textId="77777777" w:rsidR="003A24E1" w:rsidRPr="0068133F" w:rsidRDefault="003A24E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w:t>
      </w:r>
      <w:bookmarkStart w:id="11" w:name="_Hlk117238268"/>
      <w:r w:rsidRPr="0068133F">
        <w:rPr>
          <w:rFonts w:cs="Times New Roman"/>
          <w:sz w:val="18"/>
          <w:szCs w:val="18"/>
        </w:rPr>
        <w:t>§</w:t>
      </w:r>
      <w:bookmarkEnd w:id="11"/>
      <w:r w:rsidRPr="0068133F">
        <w:rPr>
          <w:rFonts w:cs="Times New Roman"/>
          <w:sz w:val="18"/>
          <w:szCs w:val="18"/>
        </w:rPr>
        <w:t>1.367(b)-3(b)(3)(i).</w:t>
      </w:r>
    </w:p>
  </w:footnote>
  <w:footnote w:id="106">
    <w:p w14:paraId="70F9FC3F" w14:textId="66A8D96D" w:rsidR="003A24E1" w:rsidRPr="0068133F" w:rsidRDefault="003A24E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IRS Notice 2007-9, 2007-1 C.B. 401.</w:t>
      </w:r>
      <w:r w:rsidR="00F87641" w:rsidRPr="0068133F">
        <w:rPr>
          <w:rFonts w:cs="Times New Roman"/>
          <w:sz w:val="18"/>
          <w:szCs w:val="18"/>
        </w:rPr>
        <w:t xml:space="preserve"> </w:t>
      </w:r>
      <w:r w:rsidR="004F0356" w:rsidRPr="0068133F">
        <w:rPr>
          <w:rFonts w:cs="Times New Roman"/>
          <w:sz w:val="18"/>
          <w:szCs w:val="18"/>
        </w:rPr>
        <w:t>The preamble to the final regulations</w:t>
      </w:r>
      <w:r w:rsidR="00ED29C8" w:rsidRPr="0068133F">
        <w:rPr>
          <w:rFonts w:cs="Times New Roman"/>
          <w:sz w:val="18"/>
          <w:szCs w:val="18"/>
        </w:rPr>
        <w:t xml:space="preserve"> </w:t>
      </w:r>
      <w:r w:rsidR="004407A1" w:rsidRPr="0068133F">
        <w:rPr>
          <w:rFonts w:cs="Times New Roman"/>
          <w:sz w:val="18"/>
          <w:szCs w:val="18"/>
        </w:rPr>
        <w:t>rejected comments</w:t>
      </w:r>
      <w:r w:rsidR="00ED29C8" w:rsidRPr="0068133F">
        <w:rPr>
          <w:rFonts w:cs="Times New Roman"/>
          <w:sz w:val="18"/>
          <w:szCs w:val="18"/>
        </w:rPr>
        <w:t xml:space="preserve"> that the same country exception should apply for purposes of the all E&amp;P amount, reasoning th</w:t>
      </w:r>
      <w:r w:rsidR="0018066D">
        <w:rPr>
          <w:rFonts w:cs="Times New Roman"/>
          <w:sz w:val="18"/>
          <w:szCs w:val="18"/>
        </w:rPr>
        <w:t>a</w:t>
      </w:r>
      <w:r w:rsidR="00ED29C8" w:rsidRPr="0068133F">
        <w:rPr>
          <w:rFonts w:cs="Times New Roman"/>
          <w:sz w:val="18"/>
          <w:szCs w:val="18"/>
        </w:rPr>
        <w:t>t</w:t>
      </w:r>
      <w:r w:rsidR="007B6FF3" w:rsidRPr="0068133F">
        <w:rPr>
          <w:rFonts w:cs="Times New Roman"/>
          <w:sz w:val="18"/>
          <w:szCs w:val="18"/>
        </w:rPr>
        <w:t xml:space="preserve"> “unlike a dividend distribution that qualifies for the same country dividend </w:t>
      </w:r>
      <w:r w:rsidR="003D4DD5" w:rsidRPr="0068133F">
        <w:rPr>
          <w:rFonts w:cs="Times New Roman"/>
          <w:sz w:val="18"/>
          <w:szCs w:val="18"/>
        </w:rPr>
        <w:t xml:space="preserve">exception, an inbound asset transfer represents a current repatriation of </w:t>
      </w:r>
      <w:r w:rsidR="008A3DA4" w:rsidRPr="0068133F">
        <w:rPr>
          <w:rFonts w:cs="Times New Roman"/>
          <w:sz w:val="18"/>
          <w:szCs w:val="18"/>
        </w:rPr>
        <w:t xml:space="preserve">earnings into the United States.” 65 Fed. Reg. </w:t>
      </w:r>
      <w:r w:rsidR="003426ED" w:rsidRPr="0068133F">
        <w:rPr>
          <w:rFonts w:cs="Times New Roman"/>
          <w:sz w:val="18"/>
          <w:szCs w:val="18"/>
        </w:rPr>
        <w:t xml:space="preserve">3589, 3592 (Jan. 24. 2000). </w:t>
      </w:r>
      <w:r w:rsidR="00ED29C8" w:rsidRPr="0068133F">
        <w:rPr>
          <w:rFonts w:cs="Times New Roman"/>
          <w:sz w:val="18"/>
          <w:szCs w:val="18"/>
        </w:rPr>
        <w:t xml:space="preserve">Likewise, </w:t>
      </w:r>
      <w:r w:rsidR="003426ED" w:rsidRPr="0068133F">
        <w:rPr>
          <w:rFonts w:cs="Times New Roman"/>
          <w:sz w:val="18"/>
          <w:szCs w:val="18"/>
        </w:rPr>
        <w:t xml:space="preserve">Notice 2007-9 </w:t>
      </w:r>
      <w:r w:rsidR="006D54DB" w:rsidRPr="0068133F">
        <w:rPr>
          <w:rFonts w:cs="Times New Roman"/>
          <w:sz w:val="18"/>
          <w:szCs w:val="18"/>
        </w:rPr>
        <w:t xml:space="preserve">provided that </w:t>
      </w:r>
      <w:r w:rsidR="00483955" w:rsidRPr="0068133F">
        <w:rPr>
          <w:rFonts w:cs="Times New Roman"/>
          <w:sz w:val="18"/>
          <w:szCs w:val="18"/>
        </w:rPr>
        <w:t xml:space="preserve">an all E&amp;P inclusion cannot </w:t>
      </w:r>
      <w:r w:rsidR="00ED29C8" w:rsidRPr="0068133F">
        <w:rPr>
          <w:rFonts w:cs="Times New Roman"/>
          <w:sz w:val="18"/>
          <w:szCs w:val="18"/>
        </w:rPr>
        <w:t xml:space="preserve">satisfy the </w:t>
      </w:r>
      <w:r w:rsidR="00483955" w:rsidRPr="0068133F">
        <w:rPr>
          <w:rFonts w:cs="Times New Roman"/>
          <w:sz w:val="18"/>
          <w:szCs w:val="18"/>
        </w:rPr>
        <w:t xml:space="preserve">look-through </w:t>
      </w:r>
      <w:r w:rsidR="00ED29C8" w:rsidRPr="0068133F">
        <w:rPr>
          <w:rFonts w:cs="Times New Roman"/>
          <w:sz w:val="18"/>
          <w:szCs w:val="18"/>
        </w:rPr>
        <w:t>exception</w:t>
      </w:r>
      <w:r w:rsidR="00FD1CBA" w:rsidRPr="0068133F">
        <w:rPr>
          <w:rFonts w:cs="Times New Roman"/>
          <w:sz w:val="18"/>
          <w:szCs w:val="18"/>
        </w:rPr>
        <w:t>, presumably for the same policy reasons.</w:t>
      </w:r>
    </w:p>
  </w:footnote>
  <w:footnote w:id="107">
    <w:p w14:paraId="3F95B337" w14:textId="42BF2B31" w:rsidR="00F04F48" w:rsidRPr="0068133F" w:rsidRDefault="00F04F48"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FC60C9" w:rsidRPr="0068133F">
        <w:rPr>
          <w:rFonts w:cs="Times New Roman"/>
          <w:sz w:val="18"/>
          <w:szCs w:val="18"/>
        </w:rPr>
        <w:t>Reg. §1.367(b)-2(e)(3)(ii).</w:t>
      </w:r>
    </w:p>
  </w:footnote>
  <w:footnote w:id="108">
    <w:p w14:paraId="0D76D2B2" w14:textId="7EBD5AAA" w:rsidR="004D6E63" w:rsidRPr="0068133F" w:rsidRDefault="004D6E63"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Id.</w:t>
      </w:r>
      <w:r w:rsidR="00DD6227" w:rsidRPr="0068133F">
        <w:rPr>
          <w:rFonts w:cs="Times New Roman"/>
          <w:sz w:val="18"/>
          <w:szCs w:val="18"/>
        </w:rPr>
        <w:t xml:space="preserve"> </w:t>
      </w:r>
      <w:r w:rsidR="00340A13" w:rsidRPr="0068133F">
        <w:rPr>
          <w:rFonts w:cs="Times New Roman"/>
          <w:sz w:val="18"/>
          <w:szCs w:val="18"/>
        </w:rPr>
        <w:t xml:space="preserve">In addition, </w:t>
      </w:r>
      <w:r w:rsidR="0080408A" w:rsidRPr="0068133F">
        <w:rPr>
          <w:rFonts w:cs="Times New Roman"/>
          <w:sz w:val="18"/>
          <w:szCs w:val="18"/>
        </w:rPr>
        <w:t xml:space="preserve">as discussed in </w:t>
      </w:r>
      <w:r w:rsidR="00906724" w:rsidRPr="0068133F">
        <w:rPr>
          <w:rFonts w:cs="Times New Roman"/>
          <w:sz w:val="18"/>
          <w:szCs w:val="18"/>
        </w:rPr>
        <w:t xml:space="preserve">more detail in </w:t>
      </w:r>
      <w:r w:rsidR="0080408A" w:rsidRPr="0068133F">
        <w:rPr>
          <w:rFonts w:cs="Times New Roman"/>
          <w:sz w:val="18"/>
          <w:szCs w:val="18"/>
        </w:rPr>
        <w:t>Part III.</w:t>
      </w:r>
      <w:r w:rsidR="00906724" w:rsidRPr="0068133F">
        <w:rPr>
          <w:rFonts w:cs="Times New Roman"/>
          <w:sz w:val="18"/>
          <w:szCs w:val="18"/>
        </w:rPr>
        <w:t>B.1</w:t>
      </w:r>
      <w:r w:rsidR="00E27F11" w:rsidRPr="0068133F">
        <w:rPr>
          <w:rFonts w:cs="Times New Roman"/>
          <w:sz w:val="18"/>
          <w:szCs w:val="18"/>
        </w:rPr>
        <w:t xml:space="preserve"> of this report, </w:t>
      </w:r>
      <w:r w:rsidR="007C6B04" w:rsidRPr="0068133F">
        <w:rPr>
          <w:rFonts w:cs="Times New Roman"/>
          <w:sz w:val="18"/>
          <w:szCs w:val="18"/>
        </w:rPr>
        <w:t xml:space="preserve">solely </w:t>
      </w:r>
      <w:r w:rsidR="00BF5433" w:rsidRPr="0068133F">
        <w:rPr>
          <w:rFonts w:cs="Times New Roman"/>
          <w:sz w:val="18"/>
          <w:szCs w:val="18"/>
        </w:rPr>
        <w:t xml:space="preserve">for purposes of computing exchange gain or loss under Code Sec. 986(c), </w:t>
      </w:r>
      <w:r w:rsidR="00274FA2" w:rsidRPr="0068133F">
        <w:rPr>
          <w:rFonts w:cs="Times New Roman"/>
          <w:sz w:val="18"/>
          <w:szCs w:val="18"/>
        </w:rPr>
        <w:t xml:space="preserve">an exchanging shareholder that is a U.S. shareholder </w:t>
      </w:r>
      <w:r w:rsidR="009E138C" w:rsidRPr="0068133F">
        <w:rPr>
          <w:rFonts w:cs="Times New Roman"/>
          <w:sz w:val="18"/>
          <w:szCs w:val="18"/>
        </w:rPr>
        <w:t>that is required to include in income the all E&amp;P amount or 1248 amount</w:t>
      </w:r>
      <w:r w:rsidR="00317E26" w:rsidRPr="0068133F">
        <w:rPr>
          <w:rFonts w:cs="Times New Roman"/>
          <w:sz w:val="18"/>
          <w:szCs w:val="18"/>
        </w:rPr>
        <w:t xml:space="preserve">, is, immediately prior to the exchange, treated as receiving </w:t>
      </w:r>
      <w:r w:rsidR="006A1884" w:rsidRPr="0068133F">
        <w:rPr>
          <w:rFonts w:cs="Times New Roman"/>
          <w:sz w:val="18"/>
          <w:szCs w:val="18"/>
        </w:rPr>
        <w:t>a distribution of PTEP</w:t>
      </w:r>
      <w:r w:rsidR="00A7059D" w:rsidRPr="0068133F">
        <w:rPr>
          <w:rFonts w:cs="Times New Roman"/>
          <w:sz w:val="18"/>
          <w:szCs w:val="18"/>
        </w:rPr>
        <w:t xml:space="preserve"> </w:t>
      </w:r>
      <w:r w:rsidR="000658BC" w:rsidRPr="0068133F">
        <w:rPr>
          <w:rFonts w:cs="Times New Roman"/>
          <w:sz w:val="18"/>
          <w:szCs w:val="18"/>
        </w:rPr>
        <w:t xml:space="preserve">from the appropriate foreign corporation that is attributable </w:t>
      </w:r>
      <w:r w:rsidR="007C6B04" w:rsidRPr="0068133F">
        <w:rPr>
          <w:rFonts w:cs="Times New Roman"/>
          <w:sz w:val="18"/>
          <w:szCs w:val="18"/>
        </w:rPr>
        <w:t>under principles of Code Sec. 1248</w:t>
      </w:r>
      <w:r w:rsidR="000658BC" w:rsidRPr="0068133F">
        <w:rPr>
          <w:rFonts w:cs="Times New Roman"/>
          <w:sz w:val="18"/>
          <w:szCs w:val="18"/>
        </w:rPr>
        <w:t xml:space="preserve"> to the </w:t>
      </w:r>
      <w:r w:rsidR="007C6B04" w:rsidRPr="0068133F">
        <w:rPr>
          <w:rFonts w:cs="Times New Roman"/>
          <w:sz w:val="18"/>
          <w:szCs w:val="18"/>
        </w:rPr>
        <w:t>exchanged</w:t>
      </w:r>
      <w:r w:rsidR="000658BC" w:rsidRPr="0068133F">
        <w:rPr>
          <w:rFonts w:cs="Times New Roman"/>
          <w:sz w:val="18"/>
          <w:szCs w:val="18"/>
        </w:rPr>
        <w:t xml:space="preserve"> stock</w:t>
      </w:r>
      <w:r w:rsidR="007C6B04" w:rsidRPr="0068133F">
        <w:rPr>
          <w:rFonts w:cs="Times New Roman"/>
          <w:sz w:val="18"/>
          <w:szCs w:val="18"/>
        </w:rPr>
        <w:t>.</w:t>
      </w:r>
      <w:r w:rsidR="00A7059D" w:rsidRPr="0068133F">
        <w:rPr>
          <w:rFonts w:cs="Times New Roman"/>
          <w:sz w:val="18"/>
          <w:szCs w:val="18"/>
        </w:rPr>
        <w:t xml:space="preserve"> </w:t>
      </w:r>
      <w:r w:rsidR="00FF4BC5" w:rsidRPr="0068133F">
        <w:rPr>
          <w:rFonts w:cs="Times New Roman"/>
          <w:sz w:val="18"/>
          <w:szCs w:val="18"/>
        </w:rPr>
        <w:t>Reg. §1.367(b)-2(j)(2).</w:t>
      </w:r>
    </w:p>
  </w:footnote>
  <w:footnote w:id="109">
    <w:p w14:paraId="09CBFF3B" w14:textId="4FF61EFB" w:rsidR="00566831" w:rsidRPr="0068133F" w:rsidRDefault="0056683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4F02E3" w:rsidRPr="0068133F">
        <w:rPr>
          <w:rFonts w:cs="Times New Roman"/>
          <w:sz w:val="18"/>
          <w:szCs w:val="18"/>
        </w:rPr>
        <w:t xml:space="preserve">Pub. L. No. 77-753, §§150, </w:t>
      </w:r>
      <w:r w:rsidR="00CD4A4B" w:rsidRPr="0068133F">
        <w:rPr>
          <w:rFonts w:cs="Times New Roman"/>
          <w:sz w:val="18"/>
          <w:szCs w:val="18"/>
        </w:rPr>
        <w:t>105</w:t>
      </w:r>
      <w:r w:rsidR="004F02E3" w:rsidRPr="0068133F">
        <w:rPr>
          <w:rFonts w:cs="Times New Roman"/>
          <w:sz w:val="18"/>
          <w:szCs w:val="18"/>
        </w:rPr>
        <w:t xml:space="preserve"> 56 Stat. 798 (1942).</w:t>
      </w:r>
      <w:r w:rsidRPr="0068133F">
        <w:rPr>
          <w:rFonts w:cs="Times New Roman"/>
          <w:sz w:val="18"/>
          <w:szCs w:val="18"/>
        </w:rPr>
        <w:t xml:space="preserve"> </w:t>
      </w:r>
      <w:r w:rsidR="001F4CCF" w:rsidRPr="0068133F">
        <w:rPr>
          <w:rFonts w:cs="Times New Roman"/>
          <w:i/>
          <w:sz w:val="18"/>
          <w:szCs w:val="18"/>
        </w:rPr>
        <w:t>See</w:t>
      </w:r>
      <w:r w:rsidR="001F4CCF" w:rsidRPr="0068133F">
        <w:rPr>
          <w:rFonts w:cs="Times New Roman"/>
          <w:sz w:val="18"/>
          <w:szCs w:val="18"/>
        </w:rPr>
        <w:t xml:space="preserve"> </w:t>
      </w:r>
      <w:r w:rsidR="004F02E3" w:rsidRPr="0068133F">
        <w:rPr>
          <w:rFonts w:cs="Times New Roman"/>
          <w:i/>
          <w:sz w:val="18"/>
          <w:szCs w:val="18"/>
        </w:rPr>
        <w:t>also</w:t>
      </w:r>
      <w:r w:rsidR="004F02E3" w:rsidRPr="0068133F">
        <w:rPr>
          <w:rFonts w:cs="Times New Roman"/>
          <w:sz w:val="18"/>
          <w:szCs w:val="18"/>
        </w:rPr>
        <w:t xml:space="preserve"> </w:t>
      </w:r>
      <w:r w:rsidR="001F4CCF" w:rsidRPr="0068133F">
        <w:rPr>
          <w:rFonts w:cs="Times New Roman"/>
          <w:sz w:val="18"/>
          <w:szCs w:val="18"/>
        </w:rPr>
        <w:t>SOI Tax Stats – Historical Table 24 (1909-2010)</w:t>
      </w:r>
      <w:r w:rsidR="00BF3071" w:rsidRPr="0068133F">
        <w:rPr>
          <w:rFonts w:cs="Times New Roman"/>
          <w:sz w:val="18"/>
          <w:szCs w:val="18"/>
        </w:rPr>
        <w:t>.</w:t>
      </w:r>
    </w:p>
  </w:footnote>
  <w:footnote w:id="110">
    <w:p w14:paraId="33B90906" w14:textId="1AF6B1A4" w:rsidR="00666637" w:rsidRPr="0068133F" w:rsidRDefault="00666637" w:rsidP="00E15AEF">
      <w:pPr>
        <w:pStyle w:val="FootnoteText"/>
        <w:spacing w:after="120"/>
        <w:rPr>
          <w:rFonts w:cs="Times New Roman"/>
          <w:sz w:val="18"/>
          <w:szCs w:val="18"/>
        </w:rPr>
      </w:pPr>
      <w:r w:rsidRPr="00BC1AD2">
        <w:rPr>
          <w:rStyle w:val="FootnoteReference"/>
          <w:rFonts w:cs="Times New Roman"/>
          <w:sz w:val="18"/>
          <w:szCs w:val="18"/>
        </w:rPr>
        <w:footnoteRef/>
      </w:r>
      <w:r w:rsidRPr="00BC1AD2">
        <w:rPr>
          <w:rFonts w:cs="Times New Roman"/>
          <w:sz w:val="18"/>
          <w:szCs w:val="18"/>
        </w:rPr>
        <w:t xml:space="preserve"> The corporat</w:t>
      </w:r>
      <w:r w:rsidRPr="0068133F">
        <w:rPr>
          <w:rFonts w:cs="Times New Roman"/>
          <w:sz w:val="18"/>
          <w:szCs w:val="18"/>
        </w:rPr>
        <w:t xml:space="preserve">e tax rate was increased to 52 percent in </w:t>
      </w:r>
      <w:r w:rsidR="006F15F7" w:rsidRPr="0068133F">
        <w:rPr>
          <w:rFonts w:cs="Times New Roman"/>
          <w:sz w:val="18"/>
          <w:szCs w:val="18"/>
        </w:rPr>
        <w:t xml:space="preserve">1952. </w:t>
      </w:r>
      <w:r w:rsidR="00931444" w:rsidRPr="0068133F">
        <w:rPr>
          <w:rFonts w:cs="Times New Roman"/>
          <w:sz w:val="18"/>
          <w:szCs w:val="18"/>
        </w:rPr>
        <w:t xml:space="preserve">Pub. L. No. 82-182, §121, </w:t>
      </w:r>
      <w:r w:rsidR="00A80408" w:rsidRPr="0068133F">
        <w:rPr>
          <w:rFonts w:cs="Times New Roman"/>
          <w:sz w:val="18"/>
          <w:szCs w:val="18"/>
        </w:rPr>
        <w:t>65 Stat. 459 (1951)</w:t>
      </w:r>
      <w:r w:rsidR="00E451C2" w:rsidRPr="0068133F">
        <w:rPr>
          <w:rFonts w:cs="Times New Roman"/>
          <w:sz w:val="18"/>
          <w:szCs w:val="18"/>
        </w:rPr>
        <w:t xml:space="preserve">. </w:t>
      </w:r>
    </w:p>
  </w:footnote>
  <w:footnote w:id="111">
    <w:p w14:paraId="125DCE4E" w14:textId="20B27C2E" w:rsidR="00E920E2" w:rsidRPr="0068133F" w:rsidRDefault="00E920E2" w:rsidP="00E15AEF">
      <w:pPr>
        <w:pStyle w:val="FootnoteText"/>
        <w:spacing w:after="120"/>
        <w:rPr>
          <w:rFonts w:cs="Times New Roman"/>
          <w:sz w:val="18"/>
          <w:szCs w:val="18"/>
        </w:rPr>
      </w:pPr>
      <w:r w:rsidRPr="00BC1AD2">
        <w:rPr>
          <w:rStyle w:val="FootnoteReference"/>
          <w:rFonts w:cs="Times New Roman"/>
          <w:sz w:val="18"/>
          <w:szCs w:val="18"/>
        </w:rPr>
        <w:footnoteRef/>
      </w:r>
      <w:r w:rsidRPr="00BC1AD2">
        <w:rPr>
          <w:rFonts w:cs="Times New Roman"/>
          <w:sz w:val="18"/>
          <w:szCs w:val="18"/>
        </w:rPr>
        <w:t xml:space="preserve"> </w:t>
      </w:r>
      <w:r w:rsidR="000B5436" w:rsidRPr="0068133F">
        <w:rPr>
          <w:rFonts w:cs="Times New Roman"/>
          <w:sz w:val="18"/>
          <w:szCs w:val="18"/>
        </w:rPr>
        <w:t xml:space="preserve">Pub. L. No. </w:t>
      </w:r>
      <w:r w:rsidR="008A2F0A" w:rsidRPr="0068133F">
        <w:rPr>
          <w:rFonts w:cs="Times New Roman"/>
          <w:sz w:val="18"/>
          <w:szCs w:val="18"/>
        </w:rPr>
        <w:t xml:space="preserve">91-172, §511, </w:t>
      </w:r>
      <w:r w:rsidR="00CB60A1" w:rsidRPr="0068133F">
        <w:rPr>
          <w:rFonts w:cs="Times New Roman"/>
          <w:sz w:val="18"/>
          <w:szCs w:val="18"/>
        </w:rPr>
        <w:t xml:space="preserve">83 Stat. 536 (1969) (raising the capital gains rate to 30 percent for </w:t>
      </w:r>
      <w:r w:rsidR="00DE52C6" w:rsidRPr="0068133F">
        <w:rPr>
          <w:rFonts w:cs="Times New Roman"/>
          <w:sz w:val="18"/>
          <w:szCs w:val="18"/>
        </w:rPr>
        <w:t>taxable years 1971-1974)</w:t>
      </w:r>
      <w:r w:rsidR="0065197B" w:rsidRPr="0068133F">
        <w:rPr>
          <w:rFonts w:cs="Times New Roman"/>
          <w:sz w:val="18"/>
          <w:szCs w:val="18"/>
        </w:rPr>
        <w:t>.</w:t>
      </w:r>
    </w:p>
  </w:footnote>
  <w:footnote w:id="112">
    <w:p w14:paraId="732674C9" w14:textId="77777777" w:rsidR="00EC40B7" w:rsidRPr="0068133F" w:rsidRDefault="00EC40B7" w:rsidP="00E15AEF">
      <w:pPr>
        <w:pStyle w:val="FootnoteText"/>
        <w:spacing w:after="120"/>
        <w:rPr>
          <w:rFonts w:cs="Times New Roman"/>
          <w:sz w:val="18"/>
          <w:szCs w:val="18"/>
        </w:rPr>
      </w:pPr>
      <w:r w:rsidRPr="00BC1AD2">
        <w:rPr>
          <w:rStyle w:val="FootnoteReference"/>
          <w:rFonts w:cs="Times New Roman"/>
          <w:sz w:val="18"/>
          <w:szCs w:val="18"/>
        </w:rPr>
        <w:footnoteRef/>
      </w:r>
      <w:r w:rsidRPr="00BC1AD2">
        <w:rPr>
          <w:rFonts w:cs="Times New Roman"/>
          <w:sz w:val="18"/>
          <w:szCs w:val="18"/>
        </w:rPr>
        <w:t xml:space="preserve"> Pub. L. No. </w:t>
      </w:r>
      <w:r w:rsidRPr="0068133F">
        <w:rPr>
          <w:rFonts w:cs="Times New Roman"/>
          <w:sz w:val="18"/>
          <w:szCs w:val="18"/>
        </w:rPr>
        <w:t>99-514, §301, 100 Stat. 2088 (1986).</w:t>
      </w:r>
    </w:p>
  </w:footnote>
  <w:footnote w:id="113">
    <w:p w14:paraId="4315A178" w14:textId="77777777" w:rsidR="00D33C4E" w:rsidRPr="0068133F" w:rsidRDefault="00D33C4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1(h)(11). </w:t>
      </w:r>
    </w:p>
  </w:footnote>
  <w:footnote w:id="114">
    <w:p w14:paraId="3898E660" w14:textId="49D012B4" w:rsidR="004847F6" w:rsidRPr="0068133F" w:rsidRDefault="004847F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326D39" w:rsidRPr="0068133F">
        <w:rPr>
          <w:rFonts w:cs="Times New Roman"/>
          <w:sz w:val="18"/>
          <w:szCs w:val="18"/>
        </w:rPr>
        <w:t xml:space="preserve">Capital </w:t>
      </w:r>
      <w:r w:rsidR="00AE7C29" w:rsidRPr="0068133F">
        <w:rPr>
          <w:rFonts w:cs="Times New Roman"/>
          <w:sz w:val="18"/>
          <w:szCs w:val="18"/>
        </w:rPr>
        <w:t xml:space="preserve">gain rates apply to QDI </w:t>
      </w:r>
      <w:r w:rsidR="0085237F" w:rsidRPr="0068133F">
        <w:rPr>
          <w:rFonts w:cs="Times New Roman"/>
          <w:sz w:val="18"/>
          <w:szCs w:val="18"/>
        </w:rPr>
        <w:t xml:space="preserve">by </w:t>
      </w:r>
      <w:r w:rsidR="002C29A2" w:rsidRPr="0068133F">
        <w:rPr>
          <w:rFonts w:cs="Times New Roman"/>
          <w:sz w:val="18"/>
          <w:szCs w:val="18"/>
        </w:rPr>
        <w:t xml:space="preserve">adding QDI to </w:t>
      </w:r>
      <w:r w:rsidR="00115172" w:rsidRPr="0068133F">
        <w:rPr>
          <w:rFonts w:cs="Times New Roman"/>
          <w:sz w:val="18"/>
          <w:szCs w:val="18"/>
        </w:rPr>
        <w:t>net ca</w:t>
      </w:r>
      <w:r w:rsidR="00DF77D8" w:rsidRPr="0068133F">
        <w:rPr>
          <w:rFonts w:cs="Times New Roman"/>
          <w:sz w:val="18"/>
          <w:szCs w:val="18"/>
        </w:rPr>
        <w:t xml:space="preserve">pital gain </w:t>
      </w:r>
      <w:r w:rsidR="00FD63B4" w:rsidRPr="0068133F">
        <w:rPr>
          <w:rFonts w:cs="Times New Roman"/>
          <w:sz w:val="18"/>
          <w:szCs w:val="18"/>
        </w:rPr>
        <w:t>determined without regard to Code Sec. 1(h)(11)</w:t>
      </w:r>
      <w:r w:rsidR="007B3CDC" w:rsidRPr="0068133F">
        <w:rPr>
          <w:rFonts w:cs="Times New Roman"/>
          <w:sz w:val="18"/>
          <w:szCs w:val="18"/>
        </w:rPr>
        <w:t xml:space="preserve"> in determining “adjusted net capital gain.” </w:t>
      </w:r>
      <w:r w:rsidR="007B3CDC" w:rsidRPr="0068133F">
        <w:rPr>
          <w:rFonts w:cs="Times New Roman"/>
          <w:i/>
          <w:sz w:val="18"/>
          <w:szCs w:val="18"/>
        </w:rPr>
        <w:t>See</w:t>
      </w:r>
      <w:r w:rsidR="007B3CDC" w:rsidRPr="0068133F">
        <w:rPr>
          <w:rFonts w:cs="Times New Roman"/>
          <w:sz w:val="18"/>
          <w:szCs w:val="18"/>
        </w:rPr>
        <w:t xml:space="preserve"> Code Sec. 1(h)(3)</w:t>
      </w:r>
      <w:r w:rsidR="00864D20" w:rsidRPr="0068133F">
        <w:rPr>
          <w:rFonts w:cs="Times New Roman"/>
          <w:sz w:val="18"/>
          <w:szCs w:val="18"/>
        </w:rPr>
        <w:t xml:space="preserve"> and </w:t>
      </w:r>
      <w:r w:rsidR="0045157F" w:rsidRPr="0068133F">
        <w:rPr>
          <w:rFonts w:cs="Times New Roman"/>
          <w:sz w:val="18"/>
          <w:szCs w:val="18"/>
        </w:rPr>
        <w:t>(11)(A</w:t>
      </w:r>
      <w:r w:rsidR="007B3CDC" w:rsidRPr="0068133F">
        <w:rPr>
          <w:rFonts w:cs="Times New Roman"/>
          <w:sz w:val="18"/>
          <w:szCs w:val="18"/>
        </w:rPr>
        <w:t>)</w:t>
      </w:r>
      <w:r w:rsidR="00FD63B4" w:rsidRPr="0068133F">
        <w:rPr>
          <w:rFonts w:cs="Times New Roman"/>
          <w:sz w:val="18"/>
          <w:szCs w:val="18"/>
        </w:rPr>
        <w:t>.</w:t>
      </w:r>
      <w:r w:rsidR="00EE6192" w:rsidRPr="0068133F">
        <w:rPr>
          <w:rFonts w:cs="Times New Roman"/>
          <w:sz w:val="18"/>
          <w:szCs w:val="18"/>
        </w:rPr>
        <w:t xml:space="preserve"> </w:t>
      </w:r>
      <w:r w:rsidR="00B60B2C" w:rsidRPr="0068133F">
        <w:rPr>
          <w:rFonts w:cs="Times New Roman"/>
          <w:sz w:val="18"/>
          <w:szCs w:val="18"/>
        </w:rPr>
        <w:t xml:space="preserve">By separately adding QDI to </w:t>
      </w:r>
      <w:r w:rsidR="00D6186C" w:rsidRPr="0068133F">
        <w:rPr>
          <w:rFonts w:cs="Times New Roman"/>
          <w:sz w:val="18"/>
          <w:szCs w:val="18"/>
        </w:rPr>
        <w:t>net capital gain</w:t>
      </w:r>
      <w:r w:rsidR="00CF1290" w:rsidRPr="0068133F">
        <w:rPr>
          <w:rFonts w:cs="Times New Roman"/>
          <w:sz w:val="18"/>
          <w:szCs w:val="18"/>
        </w:rPr>
        <w:t xml:space="preserve">, </w:t>
      </w:r>
      <w:r w:rsidR="0007412A" w:rsidRPr="0068133F">
        <w:rPr>
          <w:rFonts w:cs="Times New Roman"/>
          <w:sz w:val="18"/>
          <w:szCs w:val="18"/>
        </w:rPr>
        <w:t xml:space="preserve">the Code </w:t>
      </w:r>
      <w:r w:rsidR="004E6CA9" w:rsidRPr="0068133F">
        <w:rPr>
          <w:rFonts w:cs="Times New Roman"/>
          <w:sz w:val="18"/>
          <w:szCs w:val="18"/>
        </w:rPr>
        <w:t xml:space="preserve">treats QDI </w:t>
      </w:r>
      <w:r w:rsidR="00D22E26" w:rsidRPr="0068133F">
        <w:rPr>
          <w:rFonts w:cs="Times New Roman"/>
          <w:sz w:val="18"/>
          <w:szCs w:val="18"/>
        </w:rPr>
        <w:t xml:space="preserve">as </w:t>
      </w:r>
      <w:r w:rsidR="003E6347" w:rsidRPr="0068133F">
        <w:rPr>
          <w:rFonts w:cs="Times New Roman"/>
          <w:sz w:val="18"/>
          <w:szCs w:val="18"/>
        </w:rPr>
        <w:t xml:space="preserve">increasing the amount ultimately subject to capital gain rates, rather than </w:t>
      </w:r>
      <w:r w:rsidR="005B6D3E" w:rsidRPr="0068133F">
        <w:rPr>
          <w:rFonts w:cs="Times New Roman"/>
          <w:sz w:val="18"/>
          <w:szCs w:val="18"/>
        </w:rPr>
        <w:t xml:space="preserve">as a part of the </w:t>
      </w:r>
      <w:r w:rsidR="00F90337" w:rsidRPr="0068133F">
        <w:rPr>
          <w:rFonts w:cs="Times New Roman"/>
          <w:sz w:val="18"/>
          <w:szCs w:val="18"/>
        </w:rPr>
        <w:t xml:space="preserve">preliminary </w:t>
      </w:r>
      <w:r w:rsidR="00CB1DFB" w:rsidRPr="0068133F">
        <w:rPr>
          <w:rFonts w:cs="Times New Roman"/>
          <w:sz w:val="18"/>
          <w:szCs w:val="18"/>
        </w:rPr>
        <w:t xml:space="preserve">net capital gain </w:t>
      </w:r>
      <w:r w:rsidR="003F645A" w:rsidRPr="0068133F">
        <w:rPr>
          <w:rFonts w:cs="Times New Roman"/>
          <w:sz w:val="18"/>
          <w:szCs w:val="18"/>
        </w:rPr>
        <w:t xml:space="preserve">determination </w:t>
      </w:r>
      <w:r w:rsidR="00DA5BDB" w:rsidRPr="0068133F">
        <w:rPr>
          <w:rFonts w:cs="Times New Roman"/>
          <w:sz w:val="18"/>
          <w:szCs w:val="18"/>
        </w:rPr>
        <w:t>based on “the excess of the net long-term capital gain for the taxable year over the net short-term capital loss for such year”</w:t>
      </w:r>
      <w:r w:rsidR="00CB1DFB" w:rsidRPr="0068133F">
        <w:rPr>
          <w:rFonts w:cs="Times New Roman"/>
          <w:sz w:val="18"/>
          <w:szCs w:val="18"/>
        </w:rPr>
        <w:t xml:space="preserve"> </w:t>
      </w:r>
      <w:r w:rsidR="00342E42" w:rsidRPr="0068133F">
        <w:rPr>
          <w:rFonts w:cs="Times New Roman"/>
          <w:sz w:val="18"/>
          <w:szCs w:val="18"/>
        </w:rPr>
        <w:t>under Code Sec. 12</w:t>
      </w:r>
      <w:r w:rsidR="004473B6" w:rsidRPr="0068133F">
        <w:rPr>
          <w:rFonts w:cs="Times New Roman"/>
          <w:sz w:val="18"/>
          <w:szCs w:val="18"/>
        </w:rPr>
        <w:t>22</w:t>
      </w:r>
      <w:r w:rsidR="00342E42" w:rsidRPr="0068133F">
        <w:rPr>
          <w:rFonts w:cs="Times New Roman"/>
          <w:sz w:val="18"/>
          <w:szCs w:val="18"/>
        </w:rPr>
        <w:t>(11).</w:t>
      </w:r>
    </w:p>
  </w:footnote>
  <w:footnote w:id="115">
    <w:p w14:paraId="2FE05F06" w14:textId="1F173319" w:rsidR="00D33C4E" w:rsidRPr="0068133F" w:rsidRDefault="00D33C4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016DDA" w:rsidRPr="0068133F">
        <w:rPr>
          <w:rFonts w:cs="Times New Roman"/>
          <w:sz w:val="18"/>
          <w:szCs w:val="18"/>
        </w:rPr>
        <w:t xml:space="preserve">Code Sec. 1211(b) generally allows </w:t>
      </w:r>
      <w:r w:rsidR="00466954" w:rsidRPr="0068133F">
        <w:rPr>
          <w:rFonts w:cs="Times New Roman"/>
          <w:sz w:val="18"/>
          <w:szCs w:val="18"/>
        </w:rPr>
        <w:t>individuals to offset capital gains with capital losses</w:t>
      </w:r>
      <w:r w:rsidR="00C75F2E" w:rsidRPr="0068133F">
        <w:rPr>
          <w:rFonts w:cs="Times New Roman"/>
          <w:sz w:val="18"/>
          <w:szCs w:val="18"/>
        </w:rPr>
        <w:t xml:space="preserve"> and </w:t>
      </w:r>
      <w:r w:rsidR="00DE3795" w:rsidRPr="0068133F">
        <w:rPr>
          <w:rFonts w:cs="Times New Roman"/>
          <w:sz w:val="18"/>
          <w:szCs w:val="18"/>
        </w:rPr>
        <w:t xml:space="preserve">provides </w:t>
      </w:r>
      <w:r w:rsidR="00C430DF" w:rsidRPr="0068133F">
        <w:rPr>
          <w:rFonts w:cs="Times New Roman"/>
          <w:sz w:val="18"/>
          <w:szCs w:val="18"/>
        </w:rPr>
        <w:t>a</w:t>
      </w:r>
      <w:r w:rsidR="00C86803" w:rsidRPr="0068133F">
        <w:rPr>
          <w:rFonts w:cs="Times New Roman"/>
          <w:sz w:val="18"/>
          <w:szCs w:val="18"/>
        </w:rPr>
        <w:t>n additional</w:t>
      </w:r>
      <w:r w:rsidR="00C430DF" w:rsidRPr="0068133F">
        <w:rPr>
          <w:rFonts w:cs="Times New Roman"/>
          <w:sz w:val="18"/>
          <w:szCs w:val="18"/>
        </w:rPr>
        <w:t xml:space="preserve"> deduction for </w:t>
      </w:r>
      <w:r w:rsidR="00C86803" w:rsidRPr="0068133F">
        <w:rPr>
          <w:rFonts w:cs="Times New Roman"/>
          <w:sz w:val="18"/>
          <w:szCs w:val="18"/>
        </w:rPr>
        <w:t xml:space="preserve">either </w:t>
      </w:r>
      <w:r w:rsidR="000D0449" w:rsidRPr="0068133F">
        <w:rPr>
          <w:rFonts w:cs="Times New Roman"/>
          <w:sz w:val="18"/>
          <w:szCs w:val="18"/>
        </w:rPr>
        <w:t>the excess of capital losses over capital gains or $</w:t>
      </w:r>
      <w:r w:rsidR="00672B2F" w:rsidRPr="0068133F">
        <w:rPr>
          <w:rFonts w:cs="Times New Roman"/>
          <w:sz w:val="18"/>
          <w:szCs w:val="18"/>
        </w:rPr>
        <w:t>3,000, whichever is less.</w:t>
      </w:r>
    </w:p>
  </w:footnote>
  <w:footnote w:id="116">
    <w:p w14:paraId="4DAA2845" w14:textId="6B4C87C8" w:rsidR="00D33C4E" w:rsidRPr="0068133F" w:rsidRDefault="00D33C4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1(h)(11)(C)(i). </w:t>
      </w:r>
      <w:r w:rsidRPr="0068133F">
        <w:rPr>
          <w:rFonts w:cs="Times New Roman"/>
          <w:i/>
          <w:sz w:val="18"/>
          <w:szCs w:val="18"/>
        </w:rPr>
        <w:t>See</w:t>
      </w:r>
      <w:r w:rsidRPr="0068133F">
        <w:rPr>
          <w:rFonts w:cs="Times New Roman"/>
          <w:sz w:val="18"/>
          <w:szCs w:val="18"/>
        </w:rPr>
        <w:t xml:space="preserve"> </w:t>
      </w:r>
      <w:r w:rsidR="0010399C" w:rsidRPr="0068133F">
        <w:rPr>
          <w:rFonts w:cs="Times New Roman"/>
          <w:sz w:val="18"/>
          <w:szCs w:val="18"/>
        </w:rPr>
        <w:t>IRS</w:t>
      </w:r>
      <w:r w:rsidRPr="0068133F">
        <w:rPr>
          <w:rFonts w:cs="Times New Roman"/>
          <w:sz w:val="18"/>
          <w:szCs w:val="18"/>
        </w:rPr>
        <w:t xml:space="preserve"> Notice 2011-64, which provides a list of income tax treaties considered </w:t>
      </w:r>
      <w:r w:rsidR="004F21F7" w:rsidRPr="0068133F">
        <w:rPr>
          <w:rFonts w:cs="Times New Roman"/>
          <w:sz w:val="18"/>
          <w:szCs w:val="18"/>
        </w:rPr>
        <w:t>“</w:t>
      </w:r>
      <w:r w:rsidRPr="0068133F">
        <w:rPr>
          <w:rFonts w:cs="Times New Roman"/>
          <w:sz w:val="18"/>
          <w:szCs w:val="18"/>
        </w:rPr>
        <w:t>comprehensive.</w:t>
      </w:r>
      <w:r w:rsidR="004F21F7" w:rsidRPr="0068133F">
        <w:rPr>
          <w:rFonts w:cs="Times New Roman"/>
          <w:sz w:val="18"/>
          <w:szCs w:val="18"/>
        </w:rPr>
        <w:t>”</w:t>
      </w:r>
      <w:r w:rsidRPr="0068133F">
        <w:rPr>
          <w:rFonts w:cs="Times New Roman"/>
          <w:sz w:val="18"/>
          <w:szCs w:val="18"/>
        </w:rPr>
        <w:t xml:space="preserve"> A foreign corporation satisfies the treaty requirement, and thus is a qualified foreign corporation, if it is a “resident” within the meaning of such term under the relevant comprehensive treaty and satisfies any other requirements of that treaty, including the requirements under the applicable limitation on benefits provision, regardless of whether it actually claims benefits of the treaty. Notice 2011-64, §3, citing H.R. Rep. No. 108-126, at 42 (2003)</w:t>
      </w:r>
      <w:r w:rsidR="007E4D19" w:rsidRPr="0068133F">
        <w:rPr>
          <w:rFonts w:cs="Times New Roman"/>
          <w:sz w:val="18"/>
          <w:szCs w:val="18"/>
        </w:rPr>
        <w:t xml:space="preserve"> (Conf. Rep.)</w:t>
      </w:r>
      <w:r w:rsidRPr="0068133F">
        <w:rPr>
          <w:rFonts w:cs="Times New Roman"/>
          <w:sz w:val="18"/>
          <w:szCs w:val="18"/>
        </w:rPr>
        <w:t xml:space="preserve"> (stating that a company will be treated as eligible for treaty benefits if it “would qualify” for benefits under the treaty).</w:t>
      </w:r>
    </w:p>
  </w:footnote>
  <w:footnote w:id="117">
    <w:p w14:paraId="13D7B6A9" w14:textId="77777777" w:rsidR="00D33C4E" w:rsidRPr="0068133F" w:rsidRDefault="00D33C4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1(h)(11)(C)(ii). </w:t>
      </w:r>
    </w:p>
  </w:footnote>
  <w:footnote w:id="118">
    <w:p w14:paraId="558731D5" w14:textId="77777777" w:rsidR="00D33C4E" w:rsidRPr="0068133F" w:rsidRDefault="00D33C4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1(h)(11)(iii). </w:t>
      </w:r>
    </w:p>
  </w:footnote>
  <w:footnote w:id="119">
    <w:p w14:paraId="3E8F9A50" w14:textId="77777777" w:rsidR="00D33C4E" w:rsidRPr="0068133F" w:rsidRDefault="00D33C4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1(h)(11)(B)(iii). </w:t>
      </w:r>
    </w:p>
  </w:footnote>
  <w:footnote w:id="120">
    <w:p w14:paraId="32DB3038" w14:textId="69B9563B" w:rsidR="00C409E0" w:rsidRPr="0068133F" w:rsidRDefault="00C409E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986(c).</w:t>
      </w:r>
    </w:p>
  </w:footnote>
  <w:footnote w:id="121">
    <w:p w14:paraId="7C703074" w14:textId="766AB993" w:rsidR="00BA75FA" w:rsidRPr="0068133F" w:rsidRDefault="00BA75FA"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10399C" w:rsidRPr="0068133F">
        <w:rPr>
          <w:rFonts w:cs="Times New Roman"/>
          <w:sz w:val="18"/>
          <w:szCs w:val="18"/>
        </w:rPr>
        <w:t>IRS</w:t>
      </w:r>
      <w:r w:rsidRPr="0068133F">
        <w:rPr>
          <w:rFonts w:cs="Times New Roman"/>
          <w:sz w:val="18"/>
          <w:szCs w:val="18"/>
        </w:rPr>
        <w:t xml:space="preserve"> Notice 88-71</w:t>
      </w:r>
      <w:r w:rsidR="000243CF" w:rsidRPr="0068133F">
        <w:rPr>
          <w:rFonts w:cs="Times New Roman"/>
          <w:sz w:val="18"/>
          <w:szCs w:val="18"/>
        </w:rPr>
        <w:t xml:space="preserve"> §2(c)</w:t>
      </w:r>
      <w:r w:rsidR="007B5C91" w:rsidRPr="0068133F">
        <w:rPr>
          <w:rFonts w:cs="Times New Roman"/>
          <w:sz w:val="18"/>
          <w:szCs w:val="18"/>
        </w:rPr>
        <w:t xml:space="preserve">, </w:t>
      </w:r>
      <w:r w:rsidR="00442063" w:rsidRPr="0068133F">
        <w:rPr>
          <w:rFonts w:cs="Times New Roman"/>
          <w:sz w:val="18"/>
          <w:szCs w:val="18"/>
        </w:rPr>
        <w:t>1988</w:t>
      </w:r>
      <w:r w:rsidR="0018165C" w:rsidRPr="0068133F">
        <w:rPr>
          <w:rFonts w:cs="Times New Roman"/>
          <w:sz w:val="18"/>
          <w:szCs w:val="18"/>
        </w:rPr>
        <w:t>-2 C.B. 374</w:t>
      </w:r>
      <w:r w:rsidR="00922B00" w:rsidRPr="0068133F">
        <w:rPr>
          <w:rFonts w:cs="Times New Roman"/>
          <w:sz w:val="18"/>
          <w:szCs w:val="18"/>
        </w:rPr>
        <w:t>, 380</w:t>
      </w:r>
      <w:r w:rsidR="0018165C" w:rsidRPr="0068133F">
        <w:rPr>
          <w:rFonts w:cs="Times New Roman"/>
          <w:sz w:val="18"/>
          <w:szCs w:val="18"/>
        </w:rPr>
        <w:t>.</w:t>
      </w:r>
    </w:p>
  </w:footnote>
  <w:footnote w:id="122">
    <w:p w14:paraId="290AE942" w14:textId="35C75F46" w:rsidR="00DA745D" w:rsidRPr="0068133F" w:rsidRDefault="00DA745D" w:rsidP="00E15AEF">
      <w:pPr>
        <w:pStyle w:val="FootnoteText"/>
        <w:spacing w:after="120"/>
        <w:rPr>
          <w:rFonts w:cs="Times New Roman"/>
          <w:sz w:val="18"/>
          <w:szCs w:val="18"/>
        </w:rPr>
      </w:pPr>
      <w:r w:rsidRPr="0068133F">
        <w:rPr>
          <w:rStyle w:val="FootnoteReference"/>
          <w:rFonts w:cs="Times New Roman"/>
          <w:sz w:val="18"/>
          <w:szCs w:val="18"/>
        </w:rPr>
        <w:footnoteRef/>
      </w:r>
      <w:r w:rsidR="00D54A83" w:rsidRPr="0068133F">
        <w:rPr>
          <w:rFonts w:cs="Times New Roman"/>
          <w:i/>
          <w:iCs/>
          <w:sz w:val="18"/>
          <w:szCs w:val="18"/>
        </w:rPr>
        <w:t xml:space="preserve"> </w:t>
      </w:r>
      <w:r w:rsidR="00920614" w:rsidRPr="0068133F">
        <w:rPr>
          <w:rFonts w:cs="Times New Roman"/>
          <w:i/>
          <w:sz w:val="18"/>
          <w:szCs w:val="18"/>
        </w:rPr>
        <w:t>Id.</w:t>
      </w:r>
      <w:r w:rsidR="00A775E7" w:rsidRPr="0068133F">
        <w:rPr>
          <w:rFonts w:cs="Times New Roman"/>
          <w:i/>
          <w:sz w:val="18"/>
          <w:szCs w:val="18"/>
        </w:rPr>
        <w:t xml:space="preserve"> </w:t>
      </w:r>
      <w:r w:rsidR="00D54A83" w:rsidRPr="0068133F">
        <w:rPr>
          <w:rFonts w:cs="Times New Roman"/>
          <w:sz w:val="18"/>
          <w:szCs w:val="18"/>
        </w:rPr>
        <w:t>Notably, no regulations have been issued adopting this rule, but the notice “may be relied on to the same extent as a revenue ruling or revenue procedure.”</w:t>
      </w:r>
      <w:r w:rsidRPr="0068133F">
        <w:rPr>
          <w:rFonts w:cs="Times New Roman"/>
          <w:i/>
          <w:sz w:val="18"/>
          <w:szCs w:val="18"/>
        </w:rPr>
        <w:t xml:space="preserve"> Id.</w:t>
      </w:r>
      <w:r w:rsidR="00A775E7" w:rsidRPr="0068133F">
        <w:rPr>
          <w:rFonts w:cs="Times New Roman"/>
          <w:i/>
          <w:sz w:val="18"/>
          <w:szCs w:val="18"/>
        </w:rPr>
        <w:t xml:space="preserve"> </w:t>
      </w:r>
      <w:r w:rsidR="00A775E7" w:rsidRPr="0068133F">
        <w:rPr>
          <w:rFonts w:cs="Times New Roman"/>
          <w:sz w:val="18"/>
          <w:szCs w:val="18"/>
        </w:rPr>
        <w:t>at 374.</w:t>
      </w:r>
    </w:p>
  </w:footnote>
  <w:footnote w:id="123">
    <w:p w14:paraId="2486F050" w14:textId="2689C931" w:rsidR="004A3203" w:rsidRPr="0068133F" w:rsidRDefault="004A3203"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892ACE" w:rsidRPr="0068133F">
        <w:rPr>
          <w:rFonts w:cs="Times New Roman"/>
          <w:sz w:val="18"/>
          <w:szCs w:val="18"/>
        </w:rPr>
        <w:t>Reg. §1.367(b)-2(j)(2)(i).</w:t>
      </w:r>
    </w:p>
  </w:footnote>
  <w:footnote w:id="124">
    <w:p w14:paraId="42465159" w14:textId="415726E2" w:rsidR="00892ACE" w:rsidRPr="0068133F" w:rsidRDefault="00892AC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Id.</w:t>
      </w:r>
    </w:p>
  </w:footnote>
  <w:footnote w:id="125">
    <w:p w14:paraId="1753A030" w14:textId="42F172D8" w:rsidR="00892ACE" w:rsidRPr="0068133F" w:rsidRDefault="00892AC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§1.367(b)-2(j)(2)(ii).</w:t>
      </w:r>
    </w:p>
  </w:footnote>
  <w:footnote w:id="126">
    <w:p w14:paraId="60E3428A" w14:textId="56970895" w:rsidR="000F3801" w:rsidRPr="0068133F" w:rsidRDefault="000F380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0510FD" w:rsidRPr="0068133F">
        <w:rPr>
          <w:rFonts w:cs="Times New Roman"/>
          <w:sz w:val="18"/>
          <w:szCs w:val="18"/>
        </w:rPr>
        <w:t>Code Sec.</w:t>
      </w:r>
      <w:r w:rsidRPr="0068133F">
        <w:rPr>
          <w:rFonts w:cs="Times New Roman"/>
          <w:sz w:val="18"/>
          <w:szCs w:val="18"/>
        </w:rPr>
        <w:t xml:space="preserve"> 362 </w:t>
      </w:r>
      <w:r w:rsidR="000510FD" w:rsidRPr="0068133F">
        <w:rPr>
          <w:rFonts w:cs="Times New Roman"/>
          <w:sz w:val="18"/>
          <w:szCs w:val="18"/>
        </w:rPr>
        <w:t xml:space="preserve">generally </w:t>
      </w:r>
      <w:r w:rsidRPr="0068133F">
        <w:rPr>
          <w:rFonts w:cs="Times New Roman"/>
          <w:sz w:val="18"/>
          <w:szCs w:val="18"/>
        </w:rPr>
        <w:t xml:space="preserve">provides </w:t>
      </w:r>
      <w:r w:rsidR="00D25CE7" w:rsidRPr="0068133F">
        <w:rPr>
          <w:rFonts w:cs="Times New Roman"/>
          <w:sz w:val="18"/>
          <w:szCs w:val="18"/>
        </w:rPr>
        <w:t xml:space="preserve">rules for determining </w:t>
      </w:r>
      <w:r w:rsidR="005C393E" w:rsidRPr="0068133F">
        <w:rPr>
          <w:rFonts w:cs="Times New Roman"/>
          <w:sz w:val="18"/>
          <w:szCs w:val="18"/>
        </w:rPr>
        <w:t>the</w:t>
      </w:r>
      <w:r w:rsidR="00D25CE7" w:rsidRPr="0068133F">
        <w:rPr>
          <w:rFonts w:cs="Times New Roman"/>
          <w:sz w:val="18"/>
          <w:szCs w:val="18"/>
        </w:rPr>
        <w:t xml:space="preserve"> basis </w:t>
      </w:r>
      <w:r w:rsidR="005C393E" w:rsidRPr="0068133F">
        <w:rPr>
          <w:rFonts w:cs="Times New Roman"/>
          <w:sz w:val="18"/>
          <w:szCs w:val="18"/>
        </w:rPr>
        <w:t xml:space="preserve">of property received by a transferee corporation in a </w:t>
      </w:r>
      <w:r w:rsidR="000510FD" w:rsidRPr="0068133F">
        <w:rPr>
          <w:rFonts w:cs="Times New Roman"/>
          <w:sz w:val="18"/>
          <w:szCs w:val="18"/>
        </w:rPr>
        <w:t>Code Sec. 351 exchange or reorganization.</w:t>
      </w:r>
    </w:p>
  </w:footnote>
  <w:footnote w:id="127">
    <w:p w14:paraId="06D1DB8D" w14:textId="14270D98" w:rsidR="00930DD2" w:rsidRPr="0068133F" w:rsidRDefault="00930DD2"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 xml:space="preserve">See </w:t>
      </w:r>
      <w:r w:rsidRPr="0068133F">
        <w:rPr>
          <w:rFonts w:cs="Times New Roman"/>
          <w:sz w:val="18"/>
          <w:szCs w:val="18"/>
        </w:rPr>
        <w:t>Code Sec. 334(b)(1)(B).</w:t>
      </w:r>
    </w:p>
  </w:footnote>
  <w:footnote w:id="128">
    <w:p w14:paraId="0DE08350" w14:textId="27C14E84" w:rsidR="00B8412C" w:rsidRPr="0068133F" w:rsidRDefault="00B8412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916F0D" w:rsidRPr="0068133F">
        <w:rPr>
          <w:rFonts w:cs="Times New Roman"/>
          <w:sz w:val="18"/>
          <w:szCs w:val="18"/>
        </w:rPr>
        <w:t>Code Sec. 362(e)</w:t>
      </w:r>
      <w:r w:rsidR="00705D27" w:rsidRPr="0068133F">
        <w:rPr>
          <w:rFonts w:cs="Times New Roman"/>
          <w:sz w:val="18"/>
          <w:szCs w:val="18"/>
        </w:rPr>
        <w:t>(1)(C)</w:t>
      </w:r>
      <w:r w:rsidR="00930DD2" w:rsidRPr="0068133F">
        <w:rPr>
          <w:rFonts w:cs="Times New Roman"/>
          <w:sz w:val="18"/>
          <w:szCs w:val="18"/>
        </w:rPr>
        <w:t xml:space="preserve">; </w:t>
      </w:r>
      <w:r w:rsidR="000B05E5" w:rsidRPr="0068133F">
        <w:rPr>
          <w:rFonts w:cs="Times New Roman"/>
          <w:i/>
          <w:iCs/>
          <w:sz w:val="18"/>
          <w:szCs w:val="18"/>
        </w:rPr>
        <w:t xml:space="preserve">See also </w:t>
      </w:r>
      <w:r w:rsidR="00930DD2" w:rsidRPr="0068133F">
        <w:rPr>
          <w:rFonts w:cs="Times New Roman"/>
          <w:sz w:val="18"/>
          <w:szCs w:val="18"/>
        </w:rPr>
        <w:t>Reg. §</w:t>
      </w:r>
      <w:r w:rsidR="00766CA6" w:rsidRPr="0068133F">
        <w:rPr>
          <w:rFonts w:cs="Times New Roman"/>
          <w:sz w:val="18"/>
          <w:szCs w:val="18"/>
        </w:rPr>
        <w:t>1.362-3(c)(3)</w:t>
      </w:r>
      <w:r w:rsidR="00AC3C03" w:rsidRPr="0068133F">
        <w:rPr>
          <w:rFonts w:cs="Times New Roman"/>
          <w:sz w:val="18"/>
          <w:szCs w:val="18"/>
        </w:rPr>
        <w:t xml:space="preserve"> (defining “loss important transaction” to mean any Code. Sec. 362 transaction in which </w:t>
      </w:r>
      <w:r w:rsidR="00EC21F4" w:rsidRPr="0068133F">
        <w:rPr>
          <w:rFonts w:cs="Times New Roman"/>
          <w:sz w:val="18"/>
          <w:szCs w:val="18"/>
        </w:rPr>
        <w:t>the acquiring corporation’s aggregate basis in all important property received from all transferors in the transaction would exceed the aggregate value of such property immediately after the transaction</w:t>
      </w:r>
      <w:r w:rsidR="00670F90" w:rsidRPr="0068133F">
        <w:rPr>
          <w:rFonts w:cs="Times New Roman"/>
          <w:sz w:val="18"/>
          <w:szCs w:val="18"/>
        </w:rPr>
        <w:t>).</w:t>
      </w:r>
    </w:p>
  </w:footnote>
  <w:footnote w:id="129">
    <w:p w14:paraId="1B3930BE" w14:textId="59733536" w:rsidR="009F77BC" w:rsidRPr="0068133F" w:rsidRDefault="009F77B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634C85" w:rsidRPr="0068133F">
        <w:rPr>
          <w:rFonts w:cs="Times New Roman"/>
          <w:sz w:val="18"/>
          <w:szCs w:val="18"/>
        </w:rPr>
        <w:t>Reg. §1.362</w:t>
      </w:r>
      <w:r w:rsidR="006E2AED" w:rsidRPr="0068133F">
        <w:rPr>
          <w:rFonts w:cs="Times New Roman"/>
          <w:sz w:val="18"/>
          <w:szCs w:val="18"/>
        </w:rPr>
        <w:t>-3(c)(2)(i)</w:t>
      </w:r>
      <w:r w:rsidR="004377AB" w:rsidRPr="0068133F">
        <w:rPr>
          <w:rFonts w:cs="Times New Roman"/>
          <w:sz w:val="18"/>
          <w:szCs w:val="18"/>
        </w:rPr>
        <w:t>.</w:t>
      </w:r>
    </w:p>
  </w:footnote>
  <w:footnote w:id="130">
    <w:p w14:paraId="09BDF1AF" w14:textId="5080F618" w:rsidR="000F3801" w:rsidRPr="0068133F" w:rsidRDefault="000F380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See</w:t>
      </w:r>
      <w:r w:rsidRPr="0068133F">
        <w:rPr>
          <w:rFonts w:cs="Times New Roman"/>
          <w:sz w:val="18"/>
          <w:szCs w:val="18"/>
        </w:rPr>
        <w:t xml:space="preserve"> House Report to Accompany H.R. 1, H.R. Rept. 409, 115th Cong., 1st Sess. (Nov. 13, 2017) (the “</w:t>
      </w:r>
      <w:r w:rsidR="002B6A9E" w:rsidRPr="0068133F">
        <w:rPr>
          <w:rFonts w:cs="Times New Roman"/>
          <w:b/>
          <w:sz w:val="18"/>
          <w:szCs w:val="18"/>
        </w:rPr>
        <w:t>2017</w:t>
      </w:r>
      <w:r w:rsidR="002B6A9E" w:rsidRPr="0068133F">
        <w:rPr>
          <w:rFonts w:cs="Times New Roman"/>
          <w:sz w:val="18"/>
          <w:szCs w:val="18"/>
        </w:rPr>
        <w:t xml:space="preserve"> </w:t>
      </w:r>
      <w:r w:rsidRPr="0068133F">
        <w:rPr>
          <w:rFonts w:cs="Times New Roman"/>
          <w:b/>
          <w:sz w:val="18"/>
          <w:szCs w:val="18"/>
        </w:rPr>
        <w:t>House Report</w:t>
      </w:r>
      <w:r w:rsidRPr="0068133F">
        <w:rPr>
          <w:rFonts w:cs="Times New Roman"/>
          <w:sz w:val="18"/>
          <w:szCs w:val="18"/>
        </w:rPr>
        <w:t>”), Vol II, at 370.</w:t>
      </w:r>
      <w:r w:rsidR="009376C7" w:rsidRPr="0068133F">
        <w:rPr>
          <w:rFonts w:cs="Times New Roman"/>
          <w:sz w:val="18"/>
          <w:szCs w:val="18"/>
        </w:rPr>
        <w:t xml:space="preserve"> </w:t>
      </w:r>
    </w:p>
  </w:footnote>
  <w:footnote w:id="131">
    <w:p w14:paraId="47A0EEE4" w14:textId="1F2BB18D" w:rsidR="006E3507" w:rsidRPr="0068133F" w:rsidRDefault="006E3507"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So much for that postcard.</w:t>
      </w:r>
      <w:r w:rsidR="00A5108A">
        <w:rPr>
          <w:rFonts w:cs="Times New Roman"/>
          <w:sz w:val="18"/>
          <w:szCs w:val="18"/>
        </w:rPr>
        <w:t xml:space="preserve"> </w:t>
      </w:r>
      <w:r w:rsidR="000F6A6F" w:rsidRPr="0068133F">
        <w:rPr>
          <w:rFonts w:cs="Times New Roman"/>
          <w:i/>
          <w:iCs/>
          <w:sz w:val="18"/>
          <w:szCs w:val="18"/>
        </w:rPr>
        <w:t>https://www.aei.org/economics/we-have-been-promised-a-postcard-we-didnt-get-a-postcard/</w:t>
      </w:r>
    </w:p>
  </w:footnote>
  <w:footnote w:id="132">
    <w:p w14:paraId="6FDF0D7D" w14:textId="77ABD10D" w:rsidR="00834705" w:rsidRPr="0068133F" w:rsidRDefault="0083470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965(</w:t>
      </w:r>
      <w:r w:rsidR="00EB2B2D" w:rsidRPr="0068133F">
        <w:rPr>
          <w:rFonts w:cs="Times New Roman"/>
          <w:sz w:val="18"/>
          <w:szCs w:val="18"/>
        </w:rPr>
        <w:t>a)</w:t>
      </w:r>
      <w:r w:rsidR="004F49FD" w:rsidRPr="0068133F">
        <w:rPr>
          <w:rFonts w:cs="Times New Roman"/>
          <w:sz w:val="18"/>
          <w:szCs w:val="18"/>
        </w:rPr>
        <w:t>.</w:t>
      </w:r>
    </w:p>
  </w:footnote>
  <w:footnote w:id="133">
    <w:p w14:paraId="600FA07B" w14:textId="65EE767A" w:rsidR="00F116C5" w:rsidRPr="0068133F" w:rsidRDefault="00F116C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w:t>
      </w:r>
      <w:r w:rsidR="00F766A7" w:rsidRPr="0068133F">
        <w:rPr>
          <w:rFonts w:cs="Times New Roman"/>
          <w:sz w:val="18"/>
          <w:szCs w:val="18"/>
        </w:rPr>
        <w:t xml:space="preserve">965(c). </w:t>
      </w:r>
    </w:p>
  </w:footnote>
  <w:footnote w:id="134">
    <w:p w14:paraId="461C23BC" w14:textId="57CA3A89" w:rsidR="00335B4E" w:rsidRPr="0068133F" w:rsidRDefault="00335B4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951A</w:t>
      </w:r>
      <w:r w:rsidR="00126EB6" w:rsidRPr="0068133F">
        <w:rPr>
          <w:rFonts w:cs="Times New Roman"/>
          <w:sz w:val="18"/>
          <w:szCs w:val="18"/>
        </w:rPr>
        <w:t>(</w:t>
      </w:r>
      <w:r w:rsidR="00DA7CEF" w:rsidRPr="0068133F">
        <w:rPr>
          <w:rFonts w:cs="Times New Roman"/>
          <w:sz w:val="18"/>
          <w:szCs w:val="18"/>
        </w:rPr>
        <w:t>b)(1).</w:t>
      </w:r>
      <w:r w:rsidR="00DC39C1" w:rsidRPr="0068133F">
        <w:rPr>
          <w:rFonts w:cs="Times New Roman"/>
          <w:sz w:val="18"/>
          <w:szCs w:val="18"/>
        </w:rPr>
        <w:t xml:space="preserve"> A U.S. shareholder’s </w:t>
      </w:r>
      <w:r w:rsidR="00DC39C1" w:rsidRPr="0068133F">
        <w:rPr>
          <w:rFonts w:cs="Times New Roman"/>
          <w:i/>
          <w:iCs/>
          <w:sz w:val="18"/>
          <w:szCs w:val="18"/>
        </w:rPr>
        <w:t>pro rata</w:t>
      </w:r>
      <w:r w:rsidR="00DC39C1" w:rsidRPr="0068133F">
        <w:rPr>
          <w:rFonts w:cs="Times New Roman"/>
          <w:sz w:val="18"/>
          <w:szCs w:val="18"/>
        </w:rPr>
        <w:t xml:space="preserve"> share of any item for purposes of GILTI is determined according to rules similar to the rules in Code Sec. 951(a)(2) applicable to subpart F income. Code Sec. 951A(e)(1); Reg. §1.951A-1(d)</w:t>
      </w:r>
      <w:r w:rsidR="00CC358E" w:rsidRPr="0068133F">
        <w:rPr>
          <w:rFonts w:cs="Times New Roman"/>
          <w:sz w:val="18"/>
          <w:szCs w:val="18"/>
        </w:rPr>
        <w:t>.</w:t>
      </w:r>
    </w:p>
  </w:footnote>
  <w:footnote w:id="135">
    <w:p w14:paraId="4E5F40DD" w14:textId="100ED9FC" w:rsidR="00DA7CEF" w:rsidRPr="0068133F" w:rsidRDefault="00DA7CE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951A(c)(1). </w:t>
      </w:r>
    </w:p>
  </w:footnote>
  <w:footnote w:id="136">
    <w:p w14:paraId="74434454" w14:textId="1FB3534E" w:rsidR="00DA7CEF" w:rsidRPr="0068133F" w:rsidRDefault="00DA7CE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951A(c)(2)(A). </w:t>
      </w:r>
    </w:p>
  </w:footnote>
  <w:footnote w:id="137">
    <w:p w14:paraId="4A3CB7A9" w14:textId="2B35FF63" w:rsidR="00DA7CEF" w:rsidRPr="0068133F" w:rsidRDefault="00DA7CE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951A(b)(2). </w:t>
      </w:r>
    </w:p>
  </w:footnote>
  <w:footnote w:id="138">
    <w:p w14:paraId="170E31DD" w14:textId="443F6850" w:rsidR="00DA7CEF" w:rsidRPr="0068133F" w:rsidRDefault="00DA7CE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951A(d). </w:t>
      </w:r>
    </w:p>
  </w:footnote>
  <w:footnote w:id="139">
    <w:p w14:paraId="60AB61C6" w14:textId="7BE47824" w:rsidR="002173FF" w:rsidRPr="0068133F" w:rsidRDefault="002173F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See</w:t>
      </w:r>
      <w:r w:rsidRPr="0068133F">
        <w:rPr>
          <w:rFonts w:cs="Times New Roman"/>
          <w:sz w:val="18"/>
          <w:szCs w:val="18"/>
        </w:rPr>
        <w:t xml:space="preserve"> </w:t>
      </w:r>
      <w:r w:rsidR="00935524" w:rsidRPr="0068133F">
        <w:rPr>
          <w:rFonts w:cs="Times New Roman"/>
          <w:i/>
          <w:sz w:val="18"/>
          <w:szCs w:val="18"/>
        </w:rPr>
        <w:t xml:space="preserve">generally </w:t>
      </w:r>
      <w:r w:rsidRPr="0068133F">
        <w:rPr>
          <w:rFonts w:cs="Times New Roman"/>
          <w:sz w:val="18"/>
          <w:szCs w:val="18"/>
        </w:rPr>
        <w:t>Reg. §1.951A-2(c)(</w:t>
      </w:r>
      <w:r w:rsidR="00F261CA" w:rsidRPr="0068133F">
        <w:rPr>
          <w:rFonts w:cs="Times New Roman"/>
          <w:sz w:val="18"/>
          <w:szCs w:val="18"/>
        </w:rPr>
        <w:t xml:space="preserve">1)(iii), </w:t>
      </w:r>
      <w:r w:rsidRPr="0068133F">
        <w:rPr>
          <w:rFonts w:cs="Times New Roman"/>
          <w:sz w:val="18"/>
          <w:szCs w:val="18"/>
        </w:rPr>
        <w:t>(3)</w:t>
      </w:r>
      <w:r w:rsidR="00CC0BC0" w:rsidRPr="0068133F">
        <w:rPr>
          <w:rFonts w:cs="Times New Roman"/>
          <w:sz w:val="18"/>
          <w:szCs w:val="18"/>
        </w:rPr>
        <w:t>(ii)</w:t>
      </w:r>
      <w:r w:rsidR="00390D3A" w:rsidRPr="0068133F">
        <w:rPr>
          <w:rFonts w:cs="Times New Roman"/>
          <w:sz w:val="18"/>
          <w:szCs w:val="18"/>
        </w:rPr>
        <w:t xml:space="preserve">, </w:t>
      </w:r>
      <w:r w:rsidR="003344C1" w:rsidRPr="0068133F">
        <w:rPr>
          <w:rFonts w:cs="Times New Roman"/>
          <w:sz w:val="18"/>
          <w:szCs w:val="18"/>
        </w:rPr>
        <w:t>and (7)</w:t>
      </w:r>
      <w:r w:rsidR="002A780E" w:rsidRPr="0068133F">
        <w:rPr>
          <w:rFonts w:cs="Times New Roman"/>
          <w:sz w:val="18"/>
          <w:szCs w:val="18"/>
        </w:rPr>
        <w:t>.</w:t>
      </w:r>
      <w:r w:rsidR="003344C1" w:rsidRPr="0068133F">
        <w:rPr>
          <w:rFonts w:cs="Times New Roman"/>
          <w:sz w:val="18"/>
          <w:szCs w:val="18"/>
        </w:rPr>
        <w:t xml:space="preserve"> </w:t>
      </w:r>
    </w:p>
  </w:footnote>
  <w:footnote w:id="140">
    <w:p w14:paraId="5CC05B11" w14:textId="1DD5D5BD" w:rsidR="00732DEE" w:rsidRPr="00BC1AD2" w:rsidRDefault="00732DEE" w:rsidP="00E15AEF">
      <w:pPr>
        <w:pStyle w:val="FootnoteText"/>
        <w:spacing w:after="120"/>
        <w:rPr>
          <w:rFonts w:cs="Times New Roman"/>
          <w:sz w:val="18"/>
          <w:szCs w:val="18"/>
        </w:rPr>
      </w:pPr>
      <w:r w:rsidRPr="00BC1AD2">
        <w:rPr>
          <w:rStyle w:val="FootnoteReference"/>
          <w:rFonts w:cs="Times New Roman"/>
          <w:sz w:val="18"/>
          <w:szCs w:val="18"/>
        </w:rPr>
        <w:footnoteRef/>
      </w:r>
      <w:r w:rsidRPr="00BC1AD2">
        <w:rPr>
          <w:rFonts w:cs="Times New Roman"/>
          <w:sz w:val="18"/>
          <w:szCs w:val="18"/>
        </w:rPr>
        <w:t xml:space="preserve"> </w:t>
      </w:r>
      <w:r w:rsidR="00D771B8" w:rsidRPr="00BC1AD2">
        <w:rPr>
          <w:rFonts w:cs="Times New Roman"/>
          <w:sz w:val="18"/>
          <w:szCs w:val="18"/>
        </w:rPr>
        <w:t>Code Sec. 245A(a).</w:t>
      </w:r>
    </w:p>
  </w:footnote>
  <w:footnote w:id="141">
    <w:p w14:paraId="1DB9D3DF"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245A(b)(1).</w:t>
      </w:r>
    </w:p>
  </w:footnote>
  <w:footnote w:id="142">
    <w:p w14:paraId="7D01E09C"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245A(b)(2). </w:t>
      </w:r>
    </w:p>
  </w:footnote>
  <w:footnote w:id="143">
    <w:p w14:paraId="268BAC12" w14:textId="431C3FBD" w:rsidR="00607031" w:rsidRPr="00DC3578" w:rsidRDefault="00607031"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1248(j). </w:t>
      </w:r>
      <w:r w:rsidR="009472ED">
        <w:rPr>
          <w:rFonts w:cs="Times New Roman"/>
          <w:sz w:val="18"/>
          <w:szCs w:val="18"/>
        </w:rPr>
        <w:t xml:space="preserve">In addition, </w:t>
      </w:r>
      <w:r w:rsidR="00A22B1C">
        <w:rPr>
          <w:rFonts w:cs="Times New Roman"/>
          <w:sz w:val="18"/>
          <w:szCs w:val="18"/>
        </w:rPr>
        <w:t xml:space="preserve">a sale of stock of a foreign corporation by a CFC that is recharacterized as a dividend under Code Sec. 964(e)(1) </w:t>
      </w:r>
      <w:r w:rsidR="00DC3578">
        <w:rPr>
          <w:rFonts w:cs="Times New Roman"/>
          <w:sz w:val="18"/>
          <w:szCs w:val="18"/>
        </w:rPr>
        <w:t>can be eligible for a 245A DRD</w:t>
      </w:r>
      <w:r w:rsidR="00A5108A">
        <w:rPr>
          <w:rFonts w:cs="Times New Roman"/>
          <w:sz w:val="18"/>
          <w:szCs w:val="18"/>
        </w:rPr>
        <w:t xml:space="preserve"> at the shareholder-level</w:t>
      </w:r>
      <w:r w:rsidR="00DC3578">
        <w:rPr>
          <w:rFonts w:cs="Times New Roman"/>
          <w:sz w:val="18"/>
          <w:szCs w:val="18"/>
        </w:rPr>
        <w:t xml:space="preserve">. </w:t>
      </w:r>
      <w:r w:rsidR="00DC3578">
        <w:rPr>
          <w:rFonts w:cs="Times New Roman"/>
          <w:i/>
          <w:iCs/>
          <w:sz w:val="18"/>
          <w:szCs w:val="18"/>
        </w:rPr>
        <w:t xml:space="preserve">See </w:t>
      </w:r>
      <w:r w:rsidR="008B5F04" w:rsidRPr="0068133F">
        <w:rPr>
          <w:rFonts w:cs="Times New Roman"/>
          <w:sz w:val="18"/>
          <w:szCs w:val="18"/>
        </w:rPr>
        <w:t>Code Sec. 964(e)(4).</w:t>
      </w:r>
      <w:r w:rsidR="00DC3578">
        <w:rPr>
          <w:rFonts w:cs="Times New Roman"/>
          <w:sz w:val="18"/>
          <w:szCs w:val="18"/>
        </w:rPr>
        <w:t xml:space="preserve"> Also, while an inclusion under Code Sec. 951(a)(1)(B) by reason of a U.S. investment described in Code Sec. 956 does not qualify for a 245A DRD, the amount computed under Code Sec. 956 with respect to a CFC</w:t>
      </w:r>
      <w:r w:rsidR="006754B2">
        <w:rPr>
          <w:rFonts w:cs="Times New Roman"/>
          <w:sz w:val="18"/>
          <w:szCs w:val="18"/>
        </w:rPr>
        <w:t xml:space="preserve"> with a U.S. investment</w:t>
      </w:r>
      <w:r w:rsidR="00DC3578">
        <w:rPr>
          <w:rFonts w:cs="Times New Roman"/>
          <w:sz w:val="18"/>
          <w:szCs w:val="18"/>
        </w:rPr>
        <w:t xml:space="preserve"> is reduced to the extent that the CFC’s earnings, if distributed, would qualify for a 245A DRD. </w:t>
      </w:r>
      <w:r w:rsidR="00DC3578">
        <w:rPr>
          <w:rFonts w:cs="Times New Roman"/>
          <w:i/>
          <w:iCs/>
          <w:sz w:val="18"/>
          <w:szCs w:val="18"/>
        </w:rPr>
        <w:t xml:space="preserve">See </w:t>
      </w:r>
      <w:r w:rsidR="00DC3578">
        <w:rPr>
          <w:rFonts w:cs="Times New Roman"/>
          <w:sz w:val="18"/>
          <w:szCs w:val="18"/>
        </w:rPr>
        <w:t>Reg. §1.956-1</w:t>
      </w:r>
      <w:r w:rsidR="006754B2">
        <w:rPr>
          <w:rFonts w:cs="Times New Roman"/>
          <w:sz w:val="18"/>
          <w:szCs w:val="18"/>
        </w:rPr>
        <w:t>(a)(2).</w:t>
      </w:r>
    </w:p>
  </w:footnote>
  <w:footnote w:id="144">
    <w:p w14:paraId="4C12AF44"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245A(c). </w:t>
      </w:r>
    </w:p>
  </w:footnote>
  <w:footnote w:id="145">
    <w:p w14:paraId="03DAA171"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245A(c)(3). </w:t>
      </w:r>
    </w:p>
  </w:footnote>
  <w:footnote w:id="146">
    <w:p w14:paraId="75702871"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245A(c)(2). </w:t>
      </w:r>
    </w:p>
  </w:footnote>
  <w:footnote w:id="147">
    <w:p w14:paraId="6ACC6053"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245(a)(1) and (5).</w:t>
      </w:r>
    </w:p>
  </w:footnote>
  <w:footnote w:id="148">
    <w:p w14:paraId="3D9831EF"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See</w:t>
      </w:r>
      <w:r w:rsidRPr="0068133F">
        <w:rPr>
          <w:rFonts w:cs="Times New Roman"/>
          <w:sz w:val="18"/>
          <w:szCs w:val="18"/>
        </w:rPr>
        <w:t xml:space="preserve"> Code Sec. 245(a)(6) (excluding E&amp;P earned before the ownership requirement specified in Code Sec.245(a)(2) is satisfied from the undistributed earnings and undistributed U.S. earnings of the corporation).</w:t>
      </w:r>
    </w:p>
  </w:footnote>
  <w:footnote w:id="149">
    <w:p w14:paraId="12C07951"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246(c). </w:t>
      </w:r>
    </w:p>
  </w:footnote>
  <w:footnote w:id="150">
    <w:p w14:paraId="7CFAC395"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246(c)(5)(B). </w:t>
      </w:r>
    </w:p>
  </w:footnote>
  <w:footnote w:id="151">
    <w:p w14:paraId="3B2E1CF2" w14:textId="1982426E"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1223 provides rules for determining the holding period of property. Code Sec. 1223(2) provides that when a person acquires property with a transferred basis (</w:t>
      </w:r>
      <w:r w:rsidRPr="0068133F">
        <w:rPr>
          <w:rFonts w:cs="Times New Roman"/>
          <w:i/>
          <w:sz w:val="18"/>
          <w:szCs w:val="18"/>
        </w:rPr>
        <w:t>i.e.</w:t>
      </w:r>
      <w:r w:rsidRPr="0068133F">
        <w:rPr>
          <w:rFonts w:cs="Times New Roman"/>
          <w:sz w:val="18"/>
          <w:szCs w:val="18"/>
        </w:rPr>
        <w:t>, its basis in the property is determined with reference to the basis in the hands of the transferor</w:t>
      </w:r>
      <w:r w:rsidR="0032794A" w:rsidRPr="0068133F">
        <w:rPr>
          <w:rFonts w:cs="Times New Roman"/>
          <w:sz w:val="18"/>
          <w:szCs w:val="18"/>
        </w:rPr>
        <w:t>)</w:t>
      </w:r>
      <w:r w:rsidRPr="0068133F">
        <w:rPr>
          <w:rFonts w:cs="Times New Roman"/>
          <w:sz w:val="18"/>
          <w:szCs w:val="18"/>
        </w:rPr>
        <w:t xml:space="preserve">, the transferee’s holding period in the property includes the transferor’s holding period. Code Sec. 1223(3) provides </w:t>
      </w:r>
      <w:r w:rsidR="00B17D31" w:rsidRPr="0068133F">
        <w:rPr>
          <w:rFonts w:cs="Times New Roman"/>
          <w:sz w:val="18"/>
          <w:szCs w:val="18"/>
        </w:rPr>
        <w:t xml:space="preserve">that </w:t>
      </w:r>
      <w:r w:rsidR="00B66332" w:rsidRPr="0068133F">
        <w:rPr>
          <w:rFonts w:cs="Times New Roman"/>
          <w:sz w:val="18"/>
          <w:szCs w:val="18"/>
        </w:rPr>
        <w:t>the holding period of a position acquired in a wash sale includ</w:t>
      </w:r>
      <w:r w:rsidR="00B61DFA" w:rsidRPr="0068133F">
        <w:rPr>
          <w:rFonts w:cs="Times New Roman"/>
          <w:sz w:val="18"/>
          <w:szCs w:val="18"/>
        </w:rPr>
        <w:t>es</w:t>
      </w:r>
      <w:r w:rsidR="00B66332" w:rsidRPr="0068133F">
        <w:rPr>
          <w:rFonts w:cs="Times New Roman"/>
          <w:sz w:val="18"/>
          <w:szCs w:val="18"/>
        </w:rPr>
        <w:t xml:space="preserve"> the holding period of the loss position sold</w:t>
      </w:r>
      <w:r w:rsidR="00057E71" w:rsidRPr="0068133F">
        <w:rPr>
          <w:rFonts w:cs="Times New Roman"/>
          <w:sz w:val="18"/>
          <w:szCs w:val="18"/>
        </w:rPr>
        <w:t xml:space="preserve"> in the wash sale</w:t>
      </w:r>
      <w:r w:rsidR="00B66332" w:rsidRPr="0068133F">
        <w:rPr>
          <w:rFonts w:cs="Times New Roman"/>
          <w:sz w:val="18"/>
          <w:szCs w:val="18"/>
        </w:rPr>
        <w:t>.</w:t>
      </w:r>
    </w:p>
    <w:p w14:paraId="73194674"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246(c).</w:t>
      </w:r>
    </w:p>
  </w:footnote>
  <w:footnote w:id="152">
    <w:p w14:paraId="2BB0C87A"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§1.245A(e)-1(b)(2). </w:t>
      </w:r>
    </w:p>
  </w:footnote>
  <w:footnote w:id="153">
    <w:p w14:paraId="737E9B09" w14:textId="2CFF3717" w:rsidR="008C4216" w:rsidRPr="0068133F" w:rsidRDefault="008C421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75022D" w:rsidRPr="00BC1AD2">
        <w:rPr>
          <w:rFonts w:cs="Times New Roman"/>
          <w:sz w:val="18"/>
          <w:szCs w:val="18"/>
        </w:rPr>
        <w:t>A hybrid deduction of a CFC means a deduction or other tax benefit (for example</w:t>
      </w:r>
      <w:r w:rsidR="00F96168" w:rsidRPr="0068133F">
        <w:rPr>
          <w:rFonts w:cs="Times New Roman"/>
          <w:sz w:val="18"/>
          <w:szCs w:val="18"/>
        </w:rPr>
        <w:t xml:space="preserve">, an exemption, exclusion, or credit, to the extent equivalent to a deduction) </w:t>
      </w:r>
      <w:r w:rsidR="00B03720" w:rsidRPr="0068133F">
        <w:rPr>
          <w:rFonts w:cs="Times New Roman"/>
          <w:sz w:val="18"/>
          <w:szCs w:val="18"/>
        </w:rPr>
        <w:t>that is allowed to the CFC under a relevant foreign tax law, regardless of whether</w:t>
      </w:r>
      <w:r w:rsidR="0075022D" w:rsidRPr="0068133F">
        <w:rPr>
          <w:rFonts w:cs="Times New Roman"/>
          <w:sz w:val="18"/>
          <w:szCs w:val="18"/>
        </w:rPr>
        <w:t xml:space="preserve"> </w:t>
      </w:r>
      <w:r w:rsidR="00AD78F9" w:rsidRPr="0068133F">
        <w:rPr>
          <w:rFonts w:cs="Times New Roman"/>
          <w:sz w:val="18"/>
          <w:szCs w:val="18"/>
        </w:rPr>
        <w:t xml:space="preserve">the benefit is used, </w:t>
      </w:r>
      <w:r w:rsidR="004272B5" w:rsidRPr="0068133F">
        <w:rPr>
          <w:rFonts w:cs="Times New Roman"/>
          <w:sz w:val="18"/>
          <w:szCs w:val="18"/>
        </w:rPr>
        <w:t>or otherwise reduces tax, currently under the foreign tax law</w:t>
      </w:r>
      <w:r w:rsidR="005121C2" w:rsidRPr="0068133F">
        <w:rPr>
          <w:rFonts w:cs="Times New Roman"/>
          <w:sz w:val="18"/>
          <w:szCs w:val="18"/>
        </w:rPr>
        <w:t xml:space="preserve"> and the deduction or other tax benefit relates to or results from an amount paid, accrued, or distributed with respect to an </w:t>
      </w:r>
      <w:r w:rsidR="0082306C" w:rsidRPr="0068133F">
        <w:rPr>
          <w:rFonts w:cs="Times New Roman"/>
          <w:sz w:val="18"/>
          <w:szCs w:val="18"/>
        </w:rPr>
        <w:t>instrument issued by the CFC and treated as stock for U.S. tax purposes</w:t>
      </w:r>
      <w:r w:rsidR="00FC050E" w:rsidRPr="0068133F">
        <w:rPr>
          <w:rFonts w:cs="Times New Roman"/>
          <w:sz w:val="18"/>
          <w:szCs w:val="18"/>
        </w:rPr>
        <w:t>, or is a deduction allowed to the CFC with respect to equity. Reg §1.245A(e)-1(d)(2)(i).</w:t>
      </w:r>
    </w:p>
  </w:footnote>
  <w:footnote w:id="154">
    <w:p w14:paraId="3807BF5F"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§1.245A(e)-1(d)(1).</w:t>
      </w:r>
    </w:p>
  </w:footnote>
  <w:footnote w:id="155">
    <w:p w14:paraId="1C456B31"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§1.245A(e)-1(f)(6).</w:t>
      </w:r>
    </w:p>
  </w:footnote>
  <w:footnote w:id="156">
    <w:p w14:paraId="2E2DFBD0"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§1.245A(e)-1(d)(4)(iii)(A)(1).</w:t>
      </w:r>
    </w:p>
  </w:footnote>
  <w:footnote w:id="157">
    <w:p w14:paraId="35221934"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§1.245A(e)-1(d)(4)(iii)(A)(2).</w:t>
      </w:r>
    </w:p>
  </w:footnote>
  <w:footnote w:id="158">
    <w:p w14:paraId="205845EA" w14:textId="757E25DF" w:rsidR="00B61DFA" w:rsidRPr="0068133F" w:rsidRDefault="00B61DFA" w:rsidP="00E15AEF">
      <w:pPr>
        <w:pStyle w:val="FootnoteText"/>
        <w:spacing w:after="120"/>
        <w:rPr>
          <w:rFonts w:cs="Times New Roman"/>
          <w:sz w:val="18"/>
          <w:szCs w:val="18"/>
        </w:rPr>
      </w:pPr>
      <w:r w:rsidRPr="00BC1AD2">
        <w:rPr>
          <w:rStyle w:val="FootnoteReference"/>
          <w:rFonts w:cs="Times New Roman"/>
          <w:sz w:val="18"/>
          <w:szCs w:val="18"/>
        </w:rPr>
        <w:footnoteRef/>
      </w:r>
      <w:r w:rsidRPr="00BC1AD2">
        <w:rPr>
          <w:rFonts w:cs="Times New Roman"/>
          <w:sz w:val="18"/>
          <w:szCs w:val="18"/>
        </w:rPr>
        <w:t xml:space="preserve"> </w:t>
      </w:r>
      <w:r w:rsidR="00735895" w:rsidRPr="0068133F">
        <w:rPr>
          <w:rFonts w:cs="Times New Roman"/>
          <w:sz w:val="18"/>
          <w:szCs w:val="18"/>
        </w:rPr>
        <w:t xml:space="preserve">The regulation also limits </w:t>
      </w:r>
      <w:r w:rsidR="00AC3269" w:rsidRPr="0068133F">
        <w:rPr>
          <w:rFonts w:cs="Times New Roman"/>
          <w:sz w:val="18"/>
          <w:szCs w:val="18"/>
        </w:rPr>
        <w:t xml:space="preserve">the applicability of the look-through exception </w:t>
      </w:r>
      <w:r w:rsidR="003671BE" w:rsidRPr="0068133F">
        <w:rPr>
          <w:rFonts w:cs="Times New Roman"/>
          <w:sz w:val="18"/>
          <w:szCs w:val="18"/>
        </w:rPr>
        <w:t xml:space="preserve">with respect to certain CFC-to-CFC dividends that constitute a “tiered extraordinary disposition account” </w:t>
      </w:r>
      <w:r w:rsidR="00834AD2" w:rsidRPr="0068133F">
        <w:rPr>
          <w:rFonts w:cs="Times New Roman"/>
          <w:sz w:val="18"/>
          <w:szCs w:val="18"/>
        </w:rPr>
        <w:t>(</w:t>
      </w:r>
      <w:r w:rsidR="00834AD2" w:rsidRPr="0068133F">
        <w:rPr>
          <w:rFonts w:cs="Times New Roman"/>
          <w:i/>
          <w:sz w:val="18"/>
          <w:szCs w:val="18"/>
        </w:rPr>
        <w:t>i.e.</w:t>
      </w:r>
      <w:r w:rsidR="00834AD2" w:rsidRPr="0068133F">
        <w:rPr>
          <w:rFonts w:cs="Times New Roman"/>
          <w:sz w:val="18"/>
          <w:szCs w:val="18"/>
        </w:rPr>
        <w:t xml:space="preserve">, the portion of the dividend that would be an extraordinary disposition </w:t>
      </w:r>
      <w:r w:rsidR="00830728" w:rsidRPr="0068133F">
        <w:rPr>
          <w:rFonts w:cs="Times New Roman"/>
          <w:sz w:val="18"/>
          <w:szCs w:val="18"/>
        </w:rPr>
        <w:t>amount if the 245A shareholder had received</w:t>
      </w:r>
      <w:r w:rsidR="005E30EB" w:rsidRPr="0068133F">
        <w:rPr>
          <w:rFonts w:cs="Times New Roman"/>
          <w:sz w:val="18"/>
          <w:szCs w:val="18"/>
        </w:rPr>
        <w:t xml:space="preserve"> as a dividend its </w:t>
      </w:r>
      <w:r w:rsidR="005E30EB" w:rsidRPr="00BC1AD2">
        <w:rPr>
          <w:rFonts w:cs="Times New Roman"/>
          <w:i/>
          <w:sz w:val="18"/>
          <w:szCs w:val="18"/>
        </w:rPr>
        <w:t>pro</w:t>
      </w:r>
      <w:r w:rsidR="0080332E" w:rsidRPr="00BC1AD2">
        <w:rPr>
          <w:rFonts w:cs="Times New Roman"/>
          <w:i/>
          <w:sz w:val="18"/>
          <w:szCs w:val="18"/>
        </w:rPr>
        <w:t xml:space="preserve"> </w:t>
      </w:r>
      <w:r w:rsidR="005E30EB" w:rsidRPr="00BC1AD2">
        <w:rPr>
          <w:rFonts w:cs="Times New Roman"/>
          <w:i/>
          <w:sz w:val="18"/>
          <w:szCs w:val="18"/>
        </w:rPr>
        <w:t>rata</w:t>
      </w:r>
      <w:r w:rsidR="005E30EB" w:rsidRPr="00BC1AD2">
        <w:rPr>
          <w:rFonts w:cs="Times New Roman"/>
          <w:sz w:val="18"/>
          <w:szCs w:val="18"/>
        </w:rPr>
        <w:t xml:space="preserve"> s</w:t>
      </w:r>
      <w:r w:rsidR="005E30EB" w:rsidRPr="0068133F">
        <w:rPr>
          <w:rFonts w:cs="Times New Roman"/>
          <w:sz w:val="18"/>
          <w:szCs w:val="18"/>
        </w:rPr>
        <w:t>hare of the dividend from the lower-tier CFC).</w:t>
      </w:r>
      <w:r w:rsidR="006917A0" w:rsidRPr="0068133F">
        <w:rPr>
          <w:rFonts w:cs="Times New Roman"/>
          <w:sz w:val="18"/>
          <w:szCs w:val="18"/>
        </w:rPr>
        <w:t xml:space="preserve"> Reg. §1.245A-5(d).</w:t>
      </w:r>
    </w:p>
  </w:footnote>
  <w:footnote w:id="159">
    <w:p w14:paraId="782DB408"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§1.245A-5(c)(3)(i)(C). </w:t>
      </w:r>
    </w:p>
  </w:footnote>
  <w:footnote w:id="160">
    <w:p w14:paraId="0C609670"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§1.245A-5(c)(3)(iii).</w:t>
      </w:r>
    </w:p>
  </w:footnote>
  <w:footnote w:id="161">
    <w:p w14:paraId="70780028"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§1.245A-5(c)(3)(i).</w:t>
      </w:r>
    </w:p>
  </w:footnote>
  <w:footnote w:id="162">
    <w:p w14:paraId="46AAE495"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§1.245A-5(c)(4).</w:t>
      </w:r>
    </w:p>
  </w:footnote>
  <w:footnote w:id="163">
    <w:p w14:paraId="70FE9249"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1059(c)(2). </w:t>
      </w:r>
    </w:p>
  </w:footnote>
  <w:footnote w:id="164">
    <w:p w14:paraId="713EEEE1"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1059(b)(1).</w:t>
      </w:r>
    </w:p>
  </w:footnote>
  <w:footnote w:id="165">
    <w:p w14:paraId="165F3164"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1059(b)(2).</w:t>
      </w:r>
    </w:p>
  </w:footnote>
  <w:footnote w:id="166">
    <w:p w14:paraId="5CF68259" w14:textId="77777777" w:rsidR="00C42DEC" w:rsidRPr="0068133F" w:rsidRDefault="00C42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1059(e)(1). </w:t>
      </w:r>
    </w:p>
  </w:footnote>
  <w:footnote w:id="167">
    <w:p w14:paraId="4003D8FF" w14:textId="77777777" w:rsidR="00712ED0" w:rsidRPr="0068133F" w:rsidRDefault="00712ED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In the case of a sale or exchange by a CFC of stock in another foreign corporation described in Code Sec. 964(e), “rules similar to the rules of section 961(d) shall apply.” Code Sec. 964(e)(4)(B).</w:t>
      </w:r>
    </w:p>
    <w:p w14:paraId="6EA893DD" w14:textId="77777777" w:rsidR="00712ED0" w:rsidRPr="0068133F" w:rsidRDefault="00712ED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246(c).</w:t>
      </w:r>
    </w:p>
  </w:footnote>
  <w:footnote w:id="168">
    <w:p w14:paraId="6370B26A" w14:textId="1E53450B" w:rsidR="00712ED0" w:rsidRPr="00712ED0" w:rsidRDefault="00712ED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Pr>
          <w:rFonts w:cs="Times New Roman"/>
          <w:i/>
          <w:iCs/>
          <w:sz w:val="18"/>
          <w:szCs w:val="18"/>
        </w:rPr>
        <w:t xml:space="preserve">See </w:t>
      </w:r>
      <w:r w:rsidRPr="00712ED0">
        <w:rPr>
          <w:rFonts w:cs="Times New Roman"/>
          <w:sz w:val="18"/>
          <w:szCs w:val="18"/>
        </w:rPr>
        <w:t>Committee on the Budget, Reconciliation Recommendations Pursuant to H. Con. Res. 71, 115th Cong. 1st Sess. at 360 (S. Prt. No. 115-20)</w:t>
      </w:r>
      <w:r>
        <w:rPr>
          <w:rFonts w:cs="Times New Roman"/>
          <w:sz w:val="18"/>
          <w:szCs w:val="18"/>
        </w:rPr>
        <w:t xml:space="preserve"> (“</w:t>
      </w:r>
      <w:r w:rsidRPr="00712ED0">
        <w:rPr>
          <w:rFonts w:cs="Times New Roman"/>
          <w:sz w:val="18"/>
          <w:szCs w:val="18"/>
        </w:rPr>
        <w:t>A participation exemption system could provide double tax benefits in certain circumstances. In particular, a distribution from a foreign subsidiary that is eligible for a DRD would reduce the value of the foreign subsidiary, reducing any built-in gain or increasing any built-in loss in the shareholder's stock of the subsidiary. Reducing gain in this manner is consistent with the application of section 1248(a) (or section 964(e)) to recharacterize gain as a dividend for which a DRD may be allowed. Increasing loss in this manner, however, creates a double U.S. tax benefit for receiving a tax-free distribution from a foreign subsidiary</w:t>
      </w:r>
      <w:r>
        <w:rPr>
          <w:rFonts w:cs="Times New Roman"/>
          <w:sz w:val="18"/>
          <w:szCs w:val="18"/>
        </w:rPr>
        <w:t>.”)</w:t>
      </w:r>
    </w:p>
    <w:p w14:paraId="2B8C6F9E" w14:textId="77777777" w:rsidR="00712ED0" w:rsidRPr="0068133F" w:rsidRDefault="00712ED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246(c).</w:t>
      </w:r>
    </w:p>
  </w:footnote>
  <w:footnote w:id="169">
    <w:p w14:paraId="1551014C" w14:textId="75194958" w:rsidR="00E47D8E" w:rsidRPr="0068133F" w:rsidRDefault="00E47D8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See</w:t>
      </w:r>
      <w:r w:rsidRPr="0068133F">
        <w:rPr>
          <w:rFonts w:cs="Times New Roman"/>
          <w:sz w:val="18"/>
          <w:szCs w:val="18"/>
        </w:rPr>
        <w:t xml:space="preserve"> Code Sec. 951(b).</w:t>
      </w:r>
    </w:p>
  </w:footnote>
  <w:footnote w:id="170">
    <w:p w14:paraId="40629AC4" w14:textId="36FDC32F" w:rsidR="00164275" w:rsidRPr="0068133F" w:rsidRDefault="0016427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w:t>
      </w:r>
      <w:r w:rsidR="005B592C" w:rsidRPr="0068133F">
        <w:rPr>
          <w:rFonts w:cs="Times New Roman"/>
          <w:sz w:val="18"/>
          <w:szCs w:val="18"/>
        </w:rPr>
        <w:t>.</w:t>
      </w:r>
      <w:r w:rsidRPr="0068133F">
        <w:rPr>
          <w:rFonts w:cs="Times New Roman"/>
          <w:sz w:val="18"/>
          <w:szCs w:val="18"/>
        </w:rPr>
        <w:t xml:space="preserve"> §1.958-1(d)(2)(i), (iii), and (iv). </w:t>
      </w:r>
    </w:p>
  </w:footnote>
  <w:footnote w:id="171">
    <w:p w14:paraId="615263F4" w14:textId="1EDD091B" w:rsidR="00927C7A" w:rsidRPr="0068133F" w:rsidRDefault="00927C7A"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sz w:val="18"/>
          <w:szCs w:val="18"/>
        </w:rPr>
        <w:t>See</w:t>
      </w:r>
      <w:r w:rsidRPr="0068133F">
        <w:rPr>
          <w:rFonts w:cs="Times New Roman"/>
          <w:sz w:val="18"/>
          <w:szCs w:val="18"/>
        </w:rPr>
        <w:t xml:space="preserve"> Code Sec. 245A(g).</w:t>
      </w:r>
      <w:r w:rsidR="00DB74E3" w:rsidRPr="0068133F">
        <w:rPr>
          <w:rFonts w:cs="Times New Roman"/>
          <w:sz w:val="18"/>
          <w:szCs w:val="18"/>
        </w:rPr>
        <w:t xml:space="preserve"> </w:t>
      </w:r>
      <w:r w:rsidR="00BC5943" w:rsidRPr="0068133F">
        <w:rPr>
          <w:rFonts w:cs="Times New Roman"/>
          <w:i/>
          <w:sz w:val="18"/>
          <w:szCs w:val="18"/>
        </w:rPr>
        <w:t xml:space="preserve">See </w:t>
      </w:r>
      <w:r w:rsidR="00E15734" w:rsidRPr="0068133F">
        <w:rPr>
          <w:rFonts w:cs="Times New Roman"/>
          <w:i/>
          <w:sz w:val="18"/>
          <w:szCs w:val="18"/>
        </w:rPr>
        <w:t>e.g.</w:t>
      </w:r>
      <w:r w:rsidR="00E15734" w:rsidRPr="0068133F">
        <w:rPr>
          <w:rFonts w:cs="Times New Roman"/>
          <w:sz w:val="18"/>
          <w:szCs w:val="18"/>
        </w:rPr>
        <w:t>,</w:t>
      </w:r>
      <w:r w:rsidR="00BC5943" w:rsidRPr="0068133F">
        <w:rPr>
          <w:rFonts w:cs="Times New Roman"/>
          <w:sz w:val="18"/>
          <w:szCs w:val="18"/>
        </w:rPr>
        <w:t xml:space="preserve"> PLR </w:t>
      </w:r>
      <w:r w:rsidR="00776E50" w:rsidRPr="0068133F">
        <w:rPr>
          <w:rFonts w:cs="Times New Roman"/>
          <w:color w:val="000000"/>
          <w:sz w:val="18"/>
          <w:szCs w:val="18"/>
        </w:rPr>
        <w:t>200009025</w:t>
      </w:r>
      <w:r w:rsidR="00A34FD1" w:rsidRPr="0068133F">
        <w:rPr>
          <w:rFonts w:cs="Times New Roman"/>
          <w:color w:val="000000"/>
          <w:sz w:val="18"/>
          <w:szCs w:val="18"/>
        </w:rPr>
        <w:t xml:space="preserve"> (</w:t>
      </w:r>
      <w:r w:rsidR="00C53EEA" w:rsidRPr="0068133F">
        <w:rPr>
          <w:rFonts w:cs="Times New Roman"/>
          <w:color w:val="000000"/>
          <w:sz w:val="18"/>
          <w:szCs w:val="18"/>
        </w:rPr>
        <w:t>Mar. 3, 2000) (</w:t>
      </w:r>
      <w:r w:rsidR="00DD7329" w:rsidRPr="0068133F">
        <w:rPr>
          <w:rFonts w:cs="Times New Roman"/>
          <w:color w:val="000000"/>
          <w:sz w:val="18"/>
          <w:szCs w:val="18"/>
        </w:rPr>
        <w:t>corporate partner of LLC</w:t>
      </w:r>
      <w:r w:rsidR="004B7275" w:rsidRPr="0068133F">
        <w:rPr>
          <w:rFonts w:cs="Times New Roman"/>
          <w:color w:val="000000"/>
          <w:sz w:val="18"/>
          <w:szCs w:val="18"/>
        </w:rPr>
        <w:t xml:space="preserve"> entitled to </w:t>
      </w:r>
      <w:r w:rsidR="007C39B3" w:rsidRPr="0068133F">
        <w:rPr>
          <w:rFonts w:cs="Times New Roman"/>
          <w:color w:val="000000"/>
          <w:sz w:val="18"/>
          <w:szCs w:val="18"/>
        </w:rPr>
        <w:t>100 percent DRD under Code Sec. 245</w:t>
      </w:r>
      <w:r w:rsidR="009D162E" w:rsidRPr="0068133F">
        <w:rPr>
          <w:rFonts w:cs="Times New Roman"/>
          <w:color w:val="000000"/>
          <w:sz w:val="18"/>
          <w:szCs w:val="18"/>
        </w:rPr>
        <w:t>(c)(1)</w:t>
      </w:r>
      <w:r w:rsidR="00C81AED" w:rsidRPr="0068133F">
        <w:rPr>
          <w:rFonts w:cs="Times New Roman"/>
          <w:color w:val="000000"/>
          <w:sz w:val="18"/>
          <w:szCs w:val="18"/>
        </w:rPr>
        <w:t xml:space="preserve"> </w:t>
      </w:r>
      <w:r w:rsidR="004B7275" w:rsidRPr="0068133F">
        <w:rPr>
          <w:rFonts w:cs="Times New Roman"/>
          <w:color w:val="000000"/>
          <w:sz w:val="18"/>
          <w:szCs w:val="18"/>
        </w:rPr>
        <w:t>for its distributive share of dividends</w:t>
      </w:r>
      <w:r w:rsidR="00E15734" w:rsidRPr="0068133F">
        <w:rPr>
          <w:rFonts w:cs="Times New Roman"/>
          <w:color w:val="000000"/>
          <w:sz w:val="18"/>
          <w:szCs w:val="18"/>
        </w:rPr>
        <w:t xml:space="preserve"> out of E&amp;P attributable to foreign trade income of foreign sales corporation</w:t>
      </w:r>
      <w:r w:rsidR="004B7275" w:rsidRPr="0068133F">
        <w:rPr>
          <w:rFonts w:cs="Times New Roman"/>
          <w:color w:val="000000"/>
          <w:sz w:val="18"/>
          <w:szCs w:val="18"/>
        </w:rPr>
        <w:t xml:space="preserve">); </w:t>
      </w:r>
      <w:r w:rsidR="00662BEC" w:rsidRPr="0068133F">
        <w:rPr>
          <w:rFonts w:cs="Times New Roman"/>
          <w:color w:val="000000"/>
          <w:sz w:val="18"/>
          <w:szCs w:val="18"/>
        </w:rPr>
        <w:t>FSA 2000</w:t>
      </w:r>
      <w:r w:rsidR="00F340C4" w:rsidRPr="0068133F">
        <w:rPr>
          <w:rFonts w:cs="Times New Roman"/>
          <w:color w:val="000000"/>
          <w:sz w:val="18"/>
          <w:szCs w:val="18"/>
        </w:rPr>
        <w:t>26009 (</w:t>
      </w:r>
      <w:r w:rsidR="00C81AED" w:rsidRPr="0068133F">
        <w:rPr>
          <w:rFonts w:cs="Times New Roman"/>
          <w:color w:val="000000"/>
          <w:sz w:val="18"/>
          <w:szCs w:val="18"/>
        </w:rPr>
        <w:t>Jun</w:t>
      </w:r>
      <w:r w:rsidR="003865A6" w:rsidRPr="0068133F">
        <w:rPr>
          <w:rFonts w:cs="Times New Roman"/>
          <w:color w:val="000000"/>
          <w:sz w:val="18"/>
          <w:szCs w:val="18"/>
        </w:rPr>
        <w:t>e</w:t>
      </w:r>
      <w:r w:rsidR="00C81AED" w:rsidRPr="0068133F">
        <w:rPr>
          <w:rFonts w:cs="Times New Roman"/>
          <w:color w:val="000000"/>
          <w:sz w:val="18"/>
          <w:szCs w:val="18"/>
        </w:rPr>
        <w:t xml:space="preserve"> 30, 2000) (corporate partners of a partnership that owns a foreign sales corporation are entitled to 100 percent DRD under Code Sec. 245(c)(1)</w:t>
      </w:r>
      <w:r w:rsidR="00862375" w:rsidRPr="0068133F">
        <w:rPr>
          <w:rFonts w:cs="Times New Roman"/>
          <w:color w:val="000000"/>
          <w:sz w:val="18"/>
          <w:szCs w:val="18"/>
        </w:rPr>
        <w:t xml:space="preserve"> in connection with </w:t>
      </w:r>
      <w:r w:rsidR="0062279E" w:rsidRPr="0068133F">
        <w:rPr>
          <w:rFonts w:cs="Times New Roman"/>
          <w:color w:val="000000"/>
          <w:sz w:val="18"/>
          <w:szCs w:val="18"/>
        </w:rPr>
        <w:t>their distributive shares</w:t>
      </w:r>
      <w:r w:rsidR="00E650B9" w:rsidRPr="0068133F">
        <w:rPr>
          <w:rFonts w:cs="Times New Roman"/>
          <w:color w:val="000000"/>
          <w:sz w:val="18"/>
          <w:szCs w:val="18"/>
        </w:rPr>
        <w:t xml:space="preserve"> of the dividends attributable to foreign trade income</w:t>
      </w:r>
      <w:r w:rsidR="007D1C50" w:rsidRPr="0068133F">
        <w:rPr>
          <w:rFonts w:cs="Times New Roman"/>
          <w:color w:val="000000"/>
          <w:sz w:val="18"/>
          <w:szCs w:val="18"/>
        </w:rPr>
        <w:t xml:space="preserve"> paid to the partnership</w:t>
      </w:r>
      <w:r w:rsidR="00E650B9" w:rsidRPr="0068133F">
        <w:rPr>
          <w:rFonts w:cs="Times New Roman"/>
          <w:color w:val="000000"/>
          <w:sz w:val="18"/>
          <w:szCs w:val="18"/>
        </w:rPr>
        <w:t>).</w:t>
      </w:r>
    </w:p>
  </w:footnote>
  <w:footnote w:id="172">
    <w:p w14:paraId="693BAA85" w14:textId="67E890C8" w:rsidR="005B6DEC" w:rsidRPr="0068133F" w:rsidRDefault="005B6DE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1C08CB" w:rsidRPr="0068133F">
        <w:rPr>
          <w:rFonts w:cs="Times New Roman"/>
          <w:i/>
          <w:sz w:val="18"/>
          <w:szCs w:val="18"/>
        </w:rPr>
        <w:t>See</w:t>
      </w:r>
      <w:r w:rsidR="001C08CB" w:rsidRPr="0068133F">
        <w:rPr>
          <w:rFonts w:cs="Times New Roman"/>
          <w:sz w:val="18"/>
          <w:szCs w:val="18"/>
        </w:rPr>
        <w:t xml:space="preserve"> Reg</w:t>
      </w:r>
      <w:r w:rsidR="005B592C" w:rsidRPr="0068133F">
        <w:rPr>
          <w:rFonts w:cs="Times New Roman"/>
          <w:sz w:val="18"/>
          <w:szCs w:val="18"/>
        </w:rPr>
        <w:t>.</w:t>
      </w:r>
      <w:r w:rsidR="001C08CB" w:rsidRPr="0068133F">
        <w:rPr>
          <w:rFonts w:cs="Times New Roman"/>
          <w:sz w:val="18"/>
          <w:szCs w:val="18"/>
        </w:rPr>
        <w:t xml:space="preserve"> §1.958-1(d)(</w:t>
      </w:r>
      <w:r w:rsidR="007857E9" w:rsidRPr="0068133F">
        <w:rPr>
          <w:rFonts w:cs="Times New Roman"/>
          <w:sz w:val="18"/>
          <w:szCs w:val="18"/>
        </w:rPr>
        <w:t>1</w:t>
      </w:r>
      <w:r w:rsidR="001C08CB" w:rsidRPr="0068133F">
        <w:rPr>
          <w:rFonts w:cs="Times New Roman"/>
          <w:sz w:val="18"/>
          <w:szCs w:val="18"/>
        </w:rPr>
        <w:t>)</w:t>
      </w:r>
      <w:r w:rsidR="00484601" w:rsidRPr="0068133F">
        <w:rPr>
          <w:rFonts w:cs="Times New Roman"/>
          <w:sz w:val="18"/>
          <w:szCs w:val="18"/>
        </w:rPr>
        <w:t>.</w:t>
      </w:r>
    </w:p>
  </w:footnote>
  <w:footnote w:id="173">
    <w:p w14:paraId="14E7DD63" w14:textId="119D506E" w:rsidR="004B1575" w:rsidRPr="0068133F" w:rsidRDefault="004B1575"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643AD8" w:rsidRPr="0068133F">
        <w:rPr>
          <w:rFonts w:cs="Times New Roman"/>
          <w:i/>
          <w:iCs/>
          <w:sz w:val="18"/>
          <w:szCs w:val="18"/>
        </w:rPr>
        <w:t>See</w:t>
      </w:r>
      <w:r w:rsidR="00D000BE" w:rsidRPr="0068133F">
        <w:rPr>
          <w:rFonts w:cs="Times New Roman"/>
          <w:i/>
          <w:iCs/>
          <w:sz w:val="18"/>
          <w:szCs w:val="18"/>
        </w:rPr>
        <w:t>, e.g.,</w:t>
      </w:r>
      <w:r w:rsidR="00643AD8" w:rsidRPr="0068133F">
        <w:rPr>
          <w:rFonts w:cs="Times New Roman"/>
          <w:sz w:val="18"/>
          <w:szCs w:val="18"/>
        </w:rPr>
        <w:t xml:space="preserve"> </w:t>
      </w:r>
      <w:r w:rsidR="004413D9" w:rsidRPr="0068133F">
        <w:rPr>
          <w:rFonts w:cs="Times New Roman"/>
          <w:sz w:val="18"/>
          <w:szCs w:val="18"/>
        </w:rPr>
        <w:t xml:space="preserve">Stewart Lipeles, </w:t>
      </w:r>
      <w:r w:rsidR="004413D9" w:rsidRPr="0068133F">
        <w:rPr>
          <w:rFonts w:cs="Times New Roman"/>
          <w:i/>
          <w:sz w:val="18"/>
          <w:szCs w:val="18"/>
        </w:rPr>
        <w:t>et al.</w:t>
      </w:r>
      <w:r w:rsidR="004413D9" w:rsidRPr="0068133F">
        <w:rPr>
          <w:rFonts w:cs="Times New Roman"/>
          <w:sz w:val="18"/>
          <w:szCs w:val="18"/>
        </w:rPr>
        <w:t xml:space="preserve">, </w:t>
      </w:r>
      <w:r w:rsidR="004413D9" w:rsidRPr="0068133F">
        <w:rPr>
          <w:rFonts w:cs="Times New Roman"/>
          <w:i/>
          <w:sz w:val="18"/>
          <w:szCs w:val="18"/>
        </w:rPr>
        <w:t>Did Anyone Notice the TCJA Made Section 367(b) Obsolete</w:t>
      </w:r>
      <w:r w:rsidR="004413D9" w:rsidRPr="0068133F">
        <w:rPr>
          <w:rFonts w:cs="Times New Roman"/>
          <w:sz w:val="18"/>
          <w:szCs w:val="18"/>
        </w:rPr>
        <w:t xml:space="preserve">?, TAXES The Magazine (CCH), July 2021, at </w:t>
      </w:r>
      <w:r w:rsidR="00A23C56" w:rsidRPr="0068133F">
        <w:rPr>
          <w:rFonts w:cs="Times New Roman"/>
          <w:sz w:val="18"/>
          <w:szCs w:val="18"/>
        </w:rPr>
        <w:t>18</w:t>
      </w:r>
      <w:r w:rsidR="004413D9" w:rsidRPr="0068133F">
        <w:rPr>
          <w:rFonts w:cs="Times New Roman"/>
          <w:sz w:val="18"/>
          <w:szCs w:val="18"/>
        </w:rPr>
        <w:t>.</w:t>
      </w:r>
      <w:r w:rsidR="000D21DC" w:rsidRPr="0068133F">
        <w:rPr>
          <w:rFonts w:cs="Times New Roman"/>
          <w:sz w:val="18"/>
          <w:szCs w:val="18"/>
        </w:rPr>
        <w:t xml:space="preserve"> </w:t>
      </w:r>
      <w:r w:rsidR="004413D9" w:rsidRPr="0068133F">
        <w:rPr>
          <w:rFonts w:cs="Times New Roman"/>
          <w:sz w:val="18"/>
          <w:szCs w:val="18"/>
        </w:rPr>
        <w:t>(</w:t>
      </w:r>
      <w:r w:rsidR="00056068" w:rsidRPr="0068133F">
        <w:rPr>
          <w:rFonts w:cs="Times New Roman"/>
          <w:sz w:val="18"/>
          <w:szCs w:val="18"/>
        </w:rPr>
        <w:t>“</w:t>
      </w:r>
      <w:r w:rsidR="00136285" w:rsidRPr="0068133F">
        <w:rPr>
          <w:rFonts w:cs="Times New Roman"/>
          <w:sz w:val="18"/>
          <w:szCs w:val="18"/>
        </w:rPr>
        <w:t>We urge Treasury to recognize the compliance burden is unnecessary and to simplify or eliminate</w:t>
      </w:r>
      <w:r w:rsidR="00AC5A80" w:rsidRPr="0068133F">
        <w:rPr>
          <w:rFonts w:cs="Times New Roman"/>
          <w:sz w:val="18"/>
          <w:szCs w:val="18"/>
        </w:rPr>
        <w:t xml:space="preserve"> the regulations under Code Sec. 367(b)</w:t>
      </w:r>
      <w:r w:rsidR="00056068" w:rsidRPr="0068133F">
        <w:rPr>
          <w:rFonts w:cs="Times New Roman"/>
          <w:sz w:val="18"/>
          <w:szCs w:val="18"/>
        </w:rPr>
        <w:t>.”</w:t>
      </w:r>
      <w:r w:rsidR="004413D9" w:rsidRPr="0068133F">
        <w:rPr>
          <w:rFonts w:cs="Times New Roman"/>
          <w:sz w:val="18"/>
          <w:szCs w:val="18"/>
        </w:rPr>
        <w:t>)</w:t>
      </w:r>
    </w:p>
  </w:footnote>
  <w:footnote w:id="174">
    <w:p w14:paraId="4CCE98B4" w14:textId="45F8B593" w:rsidR="00E93A99" w:rsidRPr="0068133F" w:rsidRDefault="00E93A99"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Though, as we noted above, B3 in fact addresses both the repatriation principle and the distortion principle. Insofar as B3 implicate shareholder-level consequences, thus implicate the distortion principle, the discussion related to B4 in this section is equally pertinent to B3.</w:t>
      </w:r>
    </w:p>
  </w:footnote>
  <w:footnote w:id="175">
    <w:p w14:paraId="716FDBAF" w14:textId="6A87271B" w:rsidR="006D796E" w:rsidRPr="0068133F" w:rsidRDefault="006D796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Anecdotally, pre-TCJA, one of the authors of this report was under the impression that he would be able to put his child through college based on fees from repatriation planning; he’s now encouraging his child to consider a trade…or rowing.</w:t>
      </w:r>
    </w:p>
  </w:footnote>
  <w:footnote w:id="176">
    <w:p w14:paraId="342661FA" w14:textId="3C9A6E78" w:rsidR="004843B6" w:rsidRPr="0068133F" w:rsidRDefault="004843B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7A673D" w:rsidRPr="0068133F">
        <w:rPr>
          <w:rFonts w:cs="Times New Roman"/>
          <w:i/>
          <w:sz w:val="18"/>
          <w:szCs w:val="18"/>
        </w:rPr>
        <w:t>See</w:t>
      </w:r>
      <w:r w:rsidRPr="0068133F">
        <w:rPr>
          <w:rFonts w:cs="Times New Roman"/>
          <w:sz w:val="18"/>
          <w:szCs w:val="18"/>
        </w:rPr>
        <w:t xml:space="preserve"> </w:t>
      </w:r>
      <w:r w:rsidR="007E4951" w:rsidRPr="0068133F">
        <w:rPr>
          <w:rFonts w:cs="Times New Roman"/>
          <w:sz w:val="18"/>
          <w:szCs w:val="18"/>
        </w:rPr>
        <w:t>Code Secs. 245</w:t>
      </w:r>
      <w:r w:rsidR="0073060B" w:rsidRPr="0068133F">
        <w:rPr>
          <w:rFonts w:cs="Times New Roman"/>
          <w:sz w:val="18"/>
          <w:szCs w:val="18"/>
        </w:rPr>
        <w:t>(a)(5)</w:t>
      </w:r>
      <w:r w:rsidR="00D92851" w:rsidRPr="0068133F">
        <w:rPr>
          <w:rFonts w:cs="Times New Roman"/>
          <w:sz w:val="18"/>
          <w:szCs w:val="18"/>
        </w:rPr>
        <w:t xml:space="preserve">, </w:t>
      </w:r>
      <w:r w:rsidR="00844EB2" w:rsidRPr="0068133F">
        <w:rPr>
          <w:rFonts w:cs="Times New Roman"/>
          <w:sz w:val="18"/>
          <w:szCs w:val="18"/>
        </w:rPr>
        <w:t>246(c)(</w:t>
      </w:r>
      <w:r w:rsidR="00E80379" w:rsidRPr="0068133F">
        <w:rPr>
          <w:rFonts w:cs="Times New Roman"/>
          <w:sz w:val="18"/>
          <w:szCs w:val="18"/>
        </w:rPr>
        <w:t xml:space="preserve">5), </w:t>
      </w:r>
      <w:r w:rsidR="00837D35" w:rsidRPr="0068133F">
        <w:rPr>
          <w:rFonts w:cs="Times New Roman"/>
          <w:sz w:val="18"/>
          <w:szCs w:val="18"/>
        </w:rPr>
        <w:t>Reg §§1.245A-5</w:t>
      </w:r>
      <w:r w:rsidR="00CC264C" w:rsidRPr="0068133F">
        <w:rPr>
          <w:rFonts w:cs="Times New Roman"/>
          <w:sz w:val="18"/>
          <w:szCs w:val="18"/>
        </w:rPr>
        <w:t>(b); 1.245A(e)-1</w:t>
      </w:r>
      <w:r w:rsidR="007E4951" w:rsidRPr="0068133F">
        <w:rPr>
          <w:rFonts w:cs="Times New Roman"/>
          <w:sz w:val="18"/>
          <w:szCs w:val="18"/>
        </w:rPr>
        <w:t>(d).</w:t>
      </w:r>
      <w:r w:rsidR="00837D35" w:rsidRPr="0068133F">
        <w:rPr>
          <w:rFonts w:cs="Times New Roman"/>
          <w:sz w:val="18"/>
          <w:szCs w:val="18"/>
        </w:rPr>
        <w:t xml:space="preserve"> </w:t>
      </w:r>
    </w:p>
  </w:footnote>
  <w:footnote w:id="177">
    <w:p w14:paraId="45634FAC" w14:textId="45A204B6" w:rsidR="00BD34A4" w:rsidRPr="0068133F" w:rsidRDefault="00BD34A4"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The government might also </w:t>
      </w:r>
      <w:r w:rsidR="00E673A6" w:rsidRPr="0068133F">
        <w:rPr>
          <w:rFonts w:cs="Times New Roman"/>
          <w:sz w:val="18"/>
          <w:szCs w:val="18"/>
        </w:rPr>
        <w:t xml:space="preserve">argue that </w:t>
      </w:r>
      <w:r w:rsidR="007934F6" w:rsidRPr="0068133F">
        <w:rPr>
          <w:rFonts w:cs="Times New Roman"/>
          <w:sz w:val="18"/>
          <w:szCs w:val="18"/>
        </w:rPr>
        <w:t>“deferral E&amp;P” includes, for purposes of this discussion, E&amp;P attributable to small shareholders, which</w:t>
      </w:r>
      <w:r w:rsidR="00647C81" w:rsidRPr="0068133F">
        <w:rPr>
          <w:rFonts w:cs="Times New Roman"/>
          <w:sz w:val="18"/>
          <w:szCs w:val="18"/>
        </w:rPr>
        <w:t xml:space="preserve"> E&amp;P are</w:t>
      </w:r>
      <w:r w:rsidR="007934F6" w:rsidRPr="0068133F">
        <w:rPr>
          <w:rFonts w:cs="Times New Roman"/>
          <w:sz w:val="18"/>
          <w:szCs w:val="18"/>
        </w:rPr>
        <w:t xml:space="preserve"> taxed</w:t>
      </w:r>
      <w:r w:rsidR="00F350BD" w:rsidRPr="0068133F">
        <w:rPr>
          <w:rFonts w:cs="Times New Roman"/>
          <w:sz w:val="18"/>
          <w:szCs w:val="18"/>
        </w:rPr>
        <w:t>, directly or indirectly, under B3.</w:t>
      </w:r>
      <w:r w:rsidR="00647C81" w:rsidRPr="0068133F">
        <w:rPr>
          <w:rFonts w:cs="Times New Roman"/>
          <w:sz w:val="18"/>
          <w:szCs w:val="18"/>
        </w:rPr>
        <w:t xml:space="preserve"> However, as discussed below, </w:t>
      </w:r>
      <w:r w:rsidR="00C92726" w:rsidRPr="0068133F">
        <w:rPr>
          <w:rFonts w:cs="Times New Roman"/>
          <w:sz w:val="18"/>
          <w:szCs w:val="18"/>
        </w:rPr>
        <w:t xml:space="preserve">we do not consider E&amp;P attributable to small shareholders to be deferral E&amp;P, and thus believe it is inappropriate for B3 to police this </w:t>
      </w:r>
      <w:r w:rsidR="00DA05AA" w:rsidRPr="0068133F">
        <w:rPr>
          <w:rFonts w:cs="Times New Roman"/>
          <w:sz w:val="18"/>
          <w:szCs w:val="18"/>
        </w:rPr>
        <w:t>E&amp;P.</w:t>
      </w:r>
    </w:p>
  </w:footnote>
  <w:footnote w:id="178">
    <w:p w14:paraId="72F5FFDB" w14:textId="7C0F690D" w:rsidR="006D6CB6" w:rsidRPr="0068133F" w:rsidRDefault="006D6CB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47118B" w:rsidRPr="0068133F">
        <w:rPr>
          <w:rFonts w:cs="Times New Roman"/>
          <w:sz w:val="18"/>
          <w:szCs w:val="18"/>
        </w:rPr>
        <w:t>56 Fed. Reg. at 4199</w:t>
      </w:r>
      <w:r w:rsidR="0090048F" w:rsidRPr="0068133F">
        <w:rPr>
          <w:rFonts w:cs="Times New Roman"/>
          <w:sz w:val="18"/>
          <w:szCs w:val="18"/>
        </w:rPr>
        <w:t>5</w:t>
      </w:r>
      <w:r w:rsidR="00735507" w:rsidRPr="0068133F">
        <w:rPr>
          <w:rFonts w:cs="Times New Roman"/>
          <w:sz w:val="18"/>
          <w:szCs w:val="18"/>
        </w:rPr>
        <w:t xml:space="preserve">, </w:t>
      </w:r>
      <w:r w:rsidR="00420E63" w:rsidRPr="0068133F">
        <w:rPr>
          <w:rFonts w:cs="Times New Roman"/>
          <w:sz w:val="18"/>
          <w:szCs w:val="18"/>
        </w:rPr>
        <w:t>41995</w:t>
      </w:r>
      <w:r w:rsidR="00AE6350" w:rsidRPr="0068133F">
        <w:rPr>
          <w:rFonts w:cs="Times New Roman"/>
          <w:sz w:val="18"/>
          <w:szCs w:val="18"/>
        </w:rPr>
        <w:t xml:space="preserve"> (Aug. 26, 1991)</w:t>
      </w:r>
      <w:r w:rsidRPr="0068133F">
        <w:rPr>
          <w:rFonts w:cs="Times New Roman"/>
          <w:sz w:val="18"/>
          <w:szCs w:val="18"/>
        </w:rPr>
        <w:t xml:space="preserve"> (emphasis added). </w:t>
      </w:r>
    </w:p>
  </w:footnote>
  <w:footnote w:id="179">
    <w:p w14:paraId="655D502E" w14:textId="3D457124" w:rsidR="00420F68" w:rsidRPr="0068133F" w:rsidRDefault="00420F68"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8F70E8" w:rsidRPr="0068133F">
        <w:rPr>
          <w:rFonts w:cs="Times New Roman"/>
          <w:sz w:val="18"/>
          <w:szCs w:val="18"/>
        </w:rPr>
        <w:t>Code Sec. 1(j)(2).</w:t>
      </w:r>
    </w:p>
  </w:footnote>
  <w:footnote w:id="180">
    <w:p w14:paraId="4E31CB65" w14:textId="72870F9D" w:rsidR="00B36E9D" w:rsidRPr="0068133F" w:rsidRDefault="00B36E9D"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w:t>
      </w:r>
      <w:r w:rsidR="00E752CC" w:rsidRPr="0068133F">
        <w:rPr>
          <w:rFonts w:cs="Times New Roman"/>
          <w:sz w:val="18"/>
          <w:szCs w:val="18"/>
        </w:rPr>
        <w:t>s</w:t>
      </w:r>
      <w:r w:rsidRPr="0068133F">
        <w:rPr>
          <w:rFonts w:cs="Times New Roman"/>
          <w:sz w:val="18"/>
          <w:szCs w:val="18"/>
        </w:rPr>
        <w:t>. 1(h)(1)(D) and 1411</w:t>
      </w:r>
      <w:r w:rsidR="00E752CC" w:rsidRPr="0068133F">
        <w:rPr>
          <w:rFonts w:cs="Times New Roman"/>
          <w:sz w:val="18"/>
          <w:szCs w:val="18"/>
        </w:rPr>
        <w:t>(a)(1)</w:t>
      </w:r>
      <w:r w:rsidRPr="0068133F">
        <w:rPr>
          <w:rFonts w:cs="Times New Roman"/>
          <w:sz w:val="18"/>
          <w:szCs w:val="18"/>
        </w:rPr>
        <w:t>.</w:t>
      </w:r>
    </w:p>
  </w:footnote>
  <w:footnote w:id="181">
    <w:p w14:paraId="55BE2A03" w14:textId="495CD9BD" w:rsidR="00555AB4" w:rsidRPr="0077225D" w:rsidRDefault="00555AB4"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941948" w:rsidRPr="0068133F">
        <w:rPr>
          <w:rFonts w:cs="Times New Roman"/>
          <w:sz w:val="18"/>
          <w:szCs w:val="18"/>
        </w:rPr>
        <w:t>As discussed above, in</w:t>
      </w:r>
      <w:r w:rsidR="00E654DB" w:rsidRPr="0068133F">
        <w:rPr>
          <w:rFonts w:cs="Times New Roman"/>
          <w:sz w:val="18"/>
          <w:szCs w:val="18"/>
        </w:rPr>
        <w:t xml:space="preserve"> general, dividends from a foreign corporation </w:t>
      </w:r>
      <w:r w:rsidR="00941948" w:rsidRPr="0068133F">
        <w:rPr>
          <w:rFonts w:cs="Times New Roman"/>
          <w:sz w:val="18"/>
          <w:szCs w:val="18"/>
        </w:rPr>
        <w:t xml:space="preserve">may qualify for QDI if the foreign corporation is a qualified </w:t>
      </w:r>
      <w:r w:rsidR="00B33005" w:rsidRPr="0068133F">
        <w:rPr>
          <w:rFonts w:cs="Times New Roman"/>
          <w:sz w:val="18"/>
          <w:szCs w:val="18"/>
        </w:rPr>
        <w:t xml:space="preserve">foreign corporation, which in turn depends on whether such corporation is resident in </w:t>
      </w:r>
      <w:r w:rsidR="001C3E9D" w:rsidRPr="0068133F">
        <w:rPr>
          <w:rFonts w:cs="Times New Roman"/>
          <w:sz w:val="18"/>
          <w:szCs w:val="18"/>
        </w:rPr>
        <w:t xml:space="preserve">a country with which the United States has a comprehensive tax treaty. </w:t>
      </w:r>
      <w:r w:rsidR="00C23D23" w:rsidRPr="0068133F">
        <w:rPr>
          <w:rFonts w:cs="Times New Roman"/>
          <w:sz w:val="18"/>
          <w:szCs w:val="18"/>
        </w:rPr>
        <w:t>To gauge</w:t>
      </w:r>
      <w:r w:rsidR="00A85E96" w:rsidRPr="0068133F">
        <w:rPr>
          <w:rFonts w:cs="Times New Roman"/>
          <w:sz w:val="18"/>
          <w:szCs w:val="18"/>
        </w:rPr>
        <w:t xml:space="preserve"> the </w:t>
      </w:r>
      <w:r w:rsidR="00AF2381" w:rsidRPr="0068133F">
        <w:rPr>
          <w:rFonts w:cs="Times New Roman"/>
          <w:sz w:val="18"/>
          <w:szCs w:val="18"/>
        </w:rPr>
        <w:t xml:space="preserve">probability that a dividend from a foreign corporation </w:t>
      </w:r>
      <w:r w:rsidR="000C6D2A" w:rsidRPr="0068133F">
        <w:rPr>
          <w:rFonts w:cs="Times New Roman"/>
          <w:sz w:val="18"/>
          <w:szCs w:val="18"/>
        </w:rPr>
        <w:t>will qualify for</w:t>
      </w:r>
      <w:r w:rsidR="00A85E96" w:rsidRPr="0068133F">
        <w:rPr>
          <w:rFonts w:cs="Times New Roman"/>
          <w:sz w:val="18"/>
          <w:szCs w:val="18"/>
        </w:rPr>
        <w:t xml:space="preserve"> </w:t>
      </w:r>
      <w:r w:rsidR="00F90873" w:rsidRPr="0068133F">
        <w:rPr>
          <w:rFonts w:cs="Times New Roman"/>
          <w:sz w:val="18"/>
          <w:szCs w:val="18"/>
        </w:rPr>
        <w:t xml:space="preserve">QDI, </w:t>
      </w:r>
      <w:r w:rsidR="00147EF7" w:rsidRPr="0068133F">
        <w:rPr>
          <w:rFonts w:cs="Times New Roman"/>
          <w:sz w:val="18"/>
          <w:szCs w:val="18"/>
        </w:rPr>
        <w:t xml:space="preserve">we visited a searchable webpage </w:t>
      </w:r>
      <w:r w:rsidR="00725728" w:rsidRPr="0068133F">
        <w:rPr>
          <w:rFonts w:cs="Times New Roman"/>
          <w:sz w:val="18"/>
          <w:szCs w:val="18"/>
        </w:rPr>
        <w:t>with information on</w:t>
      </w:r>
      <w:r w:rsidR="0080027E" w:rsidRPr="0068133F">
        <w:rPr>
          <w:rFonts w:cs="Times New Roman"/>
          <w:sz w:val="18"/>
          <w:szCs w:val="18"/>
        </w:rPr>
        <w:t xml:space="preserve"> the </w:t>
      </w:r>
      <w:r w:rsidR="00725728" w:rsidRPr="0068133F">
        <w:rPr>
          <w:rFonts w:cs="Times New Roman"/>
          <w:sz w:val="18"/>
          <w:szCs w:val="18"/>
        </w:rPr>
        <w:t>percentage of the</w:t>
      </w:r>
      <w:r w:rsidR="0011742A" w:rsidRPr="0068133F">
        <w:rPr>
          <w:rFonts w:cs="Times New Roman"/>
          <w:sz w:val="18"/>
          <w:szCs w:val="18"/>
        </w:rPr>
        <w:t xml:space="preserve"> dividends from each of </w:t>
      </w:r>
      <w:r w:rsidR="00725728" w:rsidRPr="0068133F">
        <w:rPr>
          <w:rFonts w:cs="Times New Roman"/>
          <w:sz w:val="18"/>
          <w:szCs w:val="18"/>
        </w:rPr>
        <w:t>Vanguard’s</w:t>
      </w:r>
      <w:r w:rsidR="0011742A" w:rsidRPr="0068133F">
        <w:rPr>
          <w:rFonts w:cs="Times New Roman"/>
          <w:sz w:val="18"/>
          <w:szCs w:val="18"/>
        </w:rPr>
        <w:t xml:space="preserve"> funds, including e</w:t>
      </w:r>
      <w:r w:rsidR="00DF010B" w:rsidRPr="0068133F">
        <w:rPr>
          <w:rFonts w:cs="Times New Roman"/>
          <w:sz w:val="18"/>
          <w:szCs w:val="18"/>
        </w:rPr>
        <w:t>xchange traded funds (</w:t>
      </w:r>
      <w:r w:rsidR="00106744" w:rsidRPr="0068133F">
        <w:rPr>
          <w:rFonts w:cs="Times New Roman"/>
          <w:sz w:val="18"/>
          <w:szCs w:val="18"/>
        </w:rPr>
        <w:t>ETF</w:t>
      </w:r>
      <w:r w:rsidR="00725728" w:rsidRPr="0068133F">
        <w:rPr>
          <w:rFonts w:cs="Times New Roman"/>
          <w:sz w:val="18"/>
          <w:szCs w:val="18"/>
        </w:rPr>
        <w:t>s</w:t>
      </w:r>
      <w:r w:rsidR="00106744" w:rsidRPr="0068133F">
        <w:rPr>
          <w:rFonts w:cs="Times New Roman"/>
          <w:sz w:val="18"/>
          <w:szCs w:val="18"/>
        </w:rPr>
        <w:t xml:space="preserve">), </w:t>
      </w:r>
      <w:r w:rsidR="00725728" w:rsidRPr="0068133F">
        <w:rPr>
          <w:rFonts w:cs="Times New Roman"/>
          <w:sz w:val="18"/>
          <w:szCs w:val="18"/>
        </w:rPr>
        <w:t xml:space="preserve">that </w:t>
      </w:r>
      <w:r w:rsidR="00106744" w:rsidRPr="0068133F">
        <w:rPr>
          <w:rFonts w:cs="Times New Roman"/>
          <w:sz w:val="18"/>
          <w:szCs w:val="18"/>
        </w:rPr>
        <w:t xml:space="preserve">are eligible </w:t>
      </w:r>
      <w:r w:rsidR="00725728" w:rsidRPr="0068133F">
        <w:rPr>
          <w:rFonts w:cs="Times New Roman"/>
          <w:sz w:val="18"/>
          <w:szCs w:val="18"/>
        </w:rPr>
        <w:t>as</w:t>
      </w:r>
      <w:r w:rsidR="00106744" w:rsidRPr="0068133F">
        <w:rPr>
          <w:rFonts w:cs="Times New Roman"/>
          <w:sz w:val="18"/>
          <w:szCs w:val="18"/>
        </w:rPr>
        <w:t xml:space="preserve"> </w:t>
      </w:r>
      <w:r w:rsidR="00BE093A" w:rsidRPr="0068133F">
        <w:rPr>
          <w:rFonts w:cs="Times New Roman"/>
          <w:sz w:val="18"/>
          <w:szCs w:val="18"/>
        </w:rPr>
        <w:t xml:space="preserve">QDI. </w:t>
      </w:r>
      <w:r w:rsidR="00BE093A" w:rsidRPr="0068133F">
        <w:rPr>
          <w:rFonts w:cs="Times New Roman"/>
          <w:i/>
          <w:sz w:val="18"/>
          <w:szCs w:val="18"/>
        </w:rPr>
        <w:t xml:space="preserve">See </w:t>
      </w:r>
      <w:hyperlink r:id="rId1" w:history="1">
        <w:r w:rsidR="00BE093A" w:rsidRPr="0077225D">
          <w:rPr>
            <w:rStyle w:val="Hyperlink"/>
            <w:rFonts w:cs="Times New Roman"/>
            <w:sz w:val="18"/>
            <w:szCs w:val="18"/>
          </w:rPr>
          <w:t>https://advisors.vanguard.com/tax-center/qualified-dividend-income</w:t>
        </w:r>
      </w:hyperlink>
      <w:r w:rsidR="00BE093A" w:rsidRPr="0068133F">
        <w:rPr>
          <w:rFonts w:cs="Times New Roman"/>
          <w:sz w:val="18"/>
          <w:szCs w:val="18"/>
        </w:rPr>
        <w:t xml:space="preserve">. </w:t>
      </w:r>
      <w:r w:rsidR="00C23D23" w:rsidRPr="00A76332">
        <w:rPr>
          <w:rFonts w:cs="Times New Roman"/>
          <w:sz w:val="18"/>
          <w:szCs w:val="18"/>
        </w:rPr>
        <w:t xml:space="preserve">According to information on this </w:t>
      </w:r>
      <w:r w:rsidR="00725728" w:rsidRPr="0077225D">
        <w:rPr>
          <w:rFonts w:cs="Times New Roman"/>
          <w:sz w:val="18"/>
          <w:szCs w:val="18"/>
        </w:rPr>
        <w:t>web</w:t>
      </w:r>
      <w:r w:rsidR="00C23D23" w:rsidRPr="0077225D">
        <w:rPr>
          <w:rFonts w:cs="Times New Roman"/>
          <w:sz w:val="18"/>
          <w:szCs w:val="18"/>
        </w:rPr>
        <w:t>page, Vanguard estimates that,</w:t>
      </w:r>
      <w:r w:rsidR="00CC1E89" w:rsidRPr="0077225D">
        <w:rPr>
          <w:rFonts w:cs="Times New Roman"/>
          <w:sz w:val="18"/>
          <w:szCs w:val="18"/>
        </w:rPr>
        <w:t xml:space="preserve"> in 2022,</w:t>
      </w:r>
      <w:r w:rsidR="00B33005" w:rsidRPr="0077225D">
        <w:rPr>
          <w:rFonts w:cs="Times New Roman"/>
          <w:sz w:val="18"/>
          <w:szCs w:val="18"/>
        </w:rPr>
        <w:t xml:space="preserve"> 72.77</w:t>
      </w:r>
      <w:r w:rsidR="00CC1E89" w:rsidRPr="0077225D">
        <w:rPr>
          <w:rFonts w:cs="Times New Roman"/>
          <w:sz w:val="18"/>
          <w:szCs w:val="18"/>
        </w:rPr>
        <w:t xml:space="preserve"> percent </w:t>
      </w:r>
      <w:r w:rsidR="00B33005" w:rsidRPr="0077225D">
        <w:rPr>
          <w:rFonts w:cs="Times New Roman"/>
          <w:sz w:val="18"/>
          <w:szCs w:val="18"/>
        </w:rPr>
        <w:t xml:space="preserve">of the dividends from </w:t>
      </w:r>
      <w:r w:rsidR="00C23D23" w:rsidRPr="0077225D">
        <w:rPr>
          <w:rFonts w:cs="Times New Roman"/>
          <w:sz w:val="18"/>
          <w:szCs w:val="18"/>
        </w:rPr>
        <w:t>its</w:t>
      </w:r>
      <w:r w:rsidR="00A85E96" w:rsidRPr="0077225D">
        <w:rPr>
          <w:rFonts w:cs="Times New Roman"/>
          <w:sz w:val="18"/>
          <w:szCs w:val="18"/>
        </w:rPr>
        <w:t xml:space="preserve"> </w:t>
      </w:r>
      <w:r w:rsidR="00B33005" w:rsidRPr="0077225D">
        <w:rPr>
          <w:rFonts w:cs="Times New Roman"/>
          <w:sz w:val="18"/>
          <w:szCs w:val="18"/>
        </w:rPr>
        <w:t>Total International Stock Market ETF (VXUS)</w:t>
      </w:r>
      <w:r w:rsidR="00CC1E89" w:rsidRPr="0077225D">
        <w:rPr>
          <w:rFonts w:cs="Times New Roman"/>
          <w:sz w:val="18"/>
          <w:szCs w:val="18"/>
        </w:rPr>
        <w:t xml:space="preserve"> will be eligible for QDI.</w:t>
      </w:r>
      <w:r w:rsidR="00A5108A" w:rsidRPr="0077225D">
        <w:rPr>
          <w:rFonts w:cs="Times New Roman"/>
          <w:sz w:val="18"/>
          <w:szCs w:val="18"/>
        </w:rPr>
        <w:t xml:space="preserve"> </w:t>
      </w:r>
      <w:r w:rsidR="00CC1E89" w:rsidRPr="0077225D">
        <w:rPr>
          <w:rFonts w:cs="Times New Roman"/>
          <w:sz w:val="18"/>
          <w:szCs w:val="18"/>
        </w:rPr>
        <w:t xml:space="preserve">VXUS is a market cap-weighted index fund that tracks </w:t>
      </w:r>
      <w:r w:rsidR="00A85E96" w:rsidRPr="0077225D">
        <w:rPr>
          <w:rFonts w:cs="Times New Roman"/>
          <w:sz w:val="18"/>
          <w:szCs w:val="18"/>
        </w:rPr>
        <w:t>FTSE Global All Cap ex US Index, which measures the investment return of stocks issued by foreign corporations. That number drops</w:t>
      </w:r>
      <w:r w:rsidR="00CC1E89" w:rsidRPr="0077225D">
        <w:rPr>
          <w:rFonts w:cs="Times New Roman"/>
          <w:sz w:val="18"/>
          <w:szCs w:val="18"/>
        </w:rPr>
        <w:t xml:space="preserve"> to 35.51% for</w:t>
      </w:r>
      <w:r w:rsidR="00A85E96" w:rsidRPr="0077225D">
        <w:rPr>
          <w:rFonts w:cs="Times New Roman"/>
          <w:sz w:val="18"/>
          <w:szCs w:val="18"/>
        </w:rPr>
        <w:t xml:space="preserve"> the Vanguard</w:t>
      </w:r>
      <w:r w:rsidR="00CC1E89" w:rsidRPr="0077225D">
        <w:rPr>
          <w:rFonts w:cs="Times New Roman"/>
          <w:sz w:val="18"/>
          <w:szCs w:val="18"/>
        </w:rPr>
        <w:t xml:space="preserve"> FTSE Emerging Markets</w:t>
      </w:r>
      <w:r w:rsidR="00A85E96" w:rsidRPr="0077225D">
        <w:rPr>
          <w:rFonts w:cs="Times New Roman"/>
          <w:sz w:val="18"/>
          <w:szCs w:val="18"/>
        </w:rPr>
        <w:t xml:space="preserve"> ETF</w:t>
      </w:r>
      <w:r w:rsidR="00CC1E89" w:rsidRPr="0077225D">
        <w:rPr>
          <w:rFonts w:cs="Times New Roman"/>
          <w:sz w:val="18"/>
          <w:szCs w:val="18"/>
        </w:rPr>
        <w:t xml:space="preserve"> (VWO</w:t>
      </w:r>
      <w:r w:rsidR="00F90873" w:rsidRPr="0077225D">
        <w:rPr>
          <w:rFonts w:cs="Times New Roman"/>
          <w:sz w:val="18"/>
          <w:szCs w:val="18"/>
        </w:rPr>
        <w:t xml:space="preserve">) </w:t>
      </w:r>
      <w:r w:rsidR="00CC1E89" w:rsidRPr="0077225D">
        <w:rPr>
          <w:rFonts w:cs="Times New Roman"/>
          <w:sz w:val="18"/>
          <w:szCs w:val="18"/>
        </w:rPr>
        <w:t xml:space="preserve">and </w:t>
      </w:r>
      <w:r w:rsidR="00A85E96" w:rsidRPr="0077225D">
        <w:rPr>
          <w:rFonts w:cs="Times New Roman"/>
          <w:sz w:val="18"/>
          <w:szCs w:val="18"/>
        </w:rPr>
        <w:t xml:space="preserve">increases </w:t>
      </w:r>
      <w:r w:rsidR="00CC1E89" w:rsidRPr="0077225D">
        <w:rPr>
          <w:rFonts w:cs="Times New Roman"/>
          <w:sz w:val="18"/>
          <w:szCs w:val="18"/>
        </w:rPr>
        <w:t>to 87.28</w:t>
      </w:r>
      <w:r w:rsidR="00803E03" w:rsidRPr="0077225D">
        <w:rPr>
          <w:rFonts w:cs="Times New Roman"/>
          <w:sz w:val="18"/>
          <w:szCs w:val="18"/>
        </w:rPr>
        <w:t xml:space="preserve"> percent </w:t>
      </w:r>
      <w:r w:rsidR="00CC1E89" w:rsidRPr="0077225D">
        <w:rPr>
          <w:rFonts w:cs="Times New Roman"/>
          <w:sz w:val="18"/>
          <w:szCs w:val="18"/>
        </w:rPr>
        <w:t xml:space="preserve">for the </w:t>
      </w:r>
      <w:r w:rsidR="00F90873" w:rsidRPr="0077225D">
        <w:rPr>
          <w:rFonts w:cs="Times New Roman"/>
          <w:sz w:val="18"/>
          <w:szCs w:val="18"/>
        </w:rPr>
        <w:t xml:space="preserve">Vanguard </w:t>
      </w:r>
      <w:r w:rsidR="00CC1E89" w:rsidRPr="0077225D">
        <w:rPr>
          <w:rFonts w:cs="Times New Roman"/>
          <w:sz w:val="18"/>
          <w:szCs w:val="18"/>
        </w:rPr>
        <w:t xml:space="preserve">FTSE Developed Markets ETF (VEA). </w:t>
      </w:r>
      <w:r w:rsidR="00C23D23" w:rsidRPr="0077225D">
        <w:rPr>
          <w:rFonts w:cs="Times New Roman"/>
          <w:sz w:val="18"/>
          <w:szCs w:val="18"/>
        </w:rPr>
        <w:t>The decrease and increase of QDI for V</w:t>
      </w:r>
      <w:r w:rsidR="00195D4F" w:rsidRPr="0077225D">
        <w:rPr>
          <w:rFonts w:cs="Times New Roman"/>
          <w:sz w:val="18"/>
          <w:szCs w:val="18"/>
        </w:rPr>
        <w:t>WO and VEA</w:t>
      </w:r>
      <w:r w:rsidR="00725728" w:rsidRPr="0077225D">
        <w:rPr>
          <w:rFonts w:cs="Times New Roman"/>
          <w:sz w:val="18"/>
          <w:szCs w:val="18"/>
        </w:rPr>
        <w:t xml:space="preserve">, </w:t>
      </w:r>
      <w:r w:rsidR="00195D4F" w:rsidRPr="0077225D">
        <w:rPr>
          <w:rFonts w:cs="Times New Roman"/>
          <w:sz w:val="18"/>
          <w:szCs w:val="18"/>
        </w:rPr>
        <w:t>respectively</w:t>
      </w:r>
      <w:r w:rsidR="00725728" w:rsidRPr="0077225D">
        <w:rPr>
          <w:rFonts w:cs="Times New Roman"/>
          <w:sz w:val="18"/>
          <w:szCs w:val="18"/>
        </w:rPr>
        <w:t>,</w:t>
      </w:r>
      <w:r w:rsidR="00195D4F" w:rsidRPr="0077225D">
        <w:rPr>
          <w:rFonts w:cs="Times New Roman"/>
          <w:sz w:val="18"/>
          <w:szCs w:val="18"/>
        </w:rPr>
        <w:t xml:space="preserve"> reflect</w:t>
      </w:r>
      <w:r w:rsidR="00725728" w:rsidRPr="0077225D">
        <w:rPr>
          <w:rFonts w:cs="Times New Roman"/>
          <w:sz w:val="18"/>
          <w:szCs w:val="18"/>
        </w:rPr>
        <w:t>s</w:t>
      </w:r>
      <w:r w:rsidR="00195D4F" w:rsidRPr="0077225D">
        <w:rPr>
          <w:rFonts w:cs="Times New Roman"/>
          <w:sz w:val="18"/>
          <w:szCs w:val="18"/>
        </w:rPr>
        <w:t xml:space="preserve"> the fact that VWO, as an “</w:t>
      </w:r>
      <w:r w:rsidR="00CC1E89" w:rsidRPr="0077225D">
        <w:rPr>
          <w:rFonts w:cs="Times New Roman"/>
          <w:sz w:val="18"/>
          <w:szCs w:val="18"/>
        </w:rPr>
        <w:t>emerging market fund</w:t>
      </w:r>
      <w:r w:rsidR="00195D4F" w:rsidRPr="0077225D">
        <w:rPr>
          <w:rFonts w:cs="Times New Roman"/>
          <w:sz w:val="18"/>
          <w:szCs w:val="18"/>
        </w:rPr>
        <w:t xml:space="preserve">,” </w:t>
      </w:r>
      <w:r w:rsidR="00725728" w:rsidRPr="0077225D">
        <w:rPr>
          <w:rFonts w:cs="Times New Roman"/>
          <w:sz w:val="18"/>
          <w:szCs w:val="18"/>
        </w:rPr>
        <w:t>is</w:t>
      </w:r>
      <w:r w:rsidR="00195D4F" w:rsidRPr="0077225D">
        <w:rPr>
          <w:rFonts w:cs="Times New Roman"/>
          <w:sz w:val="18"/>
          <w:szCs w:val="18"/>
        </w:rPr>
        <w:t xml:space="preserve"> more</w:t>
      </w:r>
      <w:r w:rsidR="00CC1E89" w:rsidRPr="0077225D">
        <w:rPr>
          <w:rFonts w:cs="Times New Roman"/>
          <w:sz w:val="18"/>
          <w:szCs w:val="18"/>
        </w:rPr>
        <w:t xml:space="preserve"> heavily weighted in </w:t>
      </w:r>
      <w:r w:rsidR="00195D4F" w:rsidRPr="0077225D">
        <w:rPr>
          <w:rFonts w:cs="Times New Roman"/>
          <w:sz w:val="18"/>
          <w:szCs w:val="18"/>
        </w:rPr>
        <w:t>foreign companies</w:t>
      </w:r>
      <w:r w:rsidR="00CC1E89" w:rsidRPr="0077225D">
        <w:rPr>
          <w:rFonts w:cs="Times New Roman"/>
          <w:sz w:val="18"/>
          <w:szCs w:val="18"/>
        </w:rPr>
        <w:t xml:space="preserve"> based in countries </w:t>
      </w:r>
      <w:r w:rsidR="00195D4F" w:rsidRPr="0077225D">
        <w:rPr>
          <w:rFonts w:cs="Times New Roman"/>
          <w:sz w:val="18"/>
          <w:szCs w:val="18"/>
        </w:rPr>
        <w:t xml:space="preserve">with which the United States does not have a treaty, </w:t>
      </w:r>
      <w:r w:rsidR="00CC1E89" w:rsidRPr="0077225D">
        <w:rPr>
          <w:rFonts w:cs="Times New Roman"/>
          <w:sz w:val="18"/>
          <w:szCs w:val="18"/>
        </w:rPr>
        <w:t xml:space="preserve">particularly South American countries like Brazil, than </w:t>
      </w:r>
      <w:r w:rsidR="00195D4F" w:rsidRPr="0077225D">
        <w:rPr>
          <w:rFonts w:cs="Times New Roman"/>
          <w:sz w:val="18"/>
          <w:szCs w:val="18"/>
        </w:rPr>
        <w:t>VEA, as a</w:t>
      </w:r>
      <w:r w:rsidR="00CC1E89" w:rsidRPr="0077225D">
        <w:rPr>
          <w:rFonts w:cs="Times New Roman"/>
          <w:sz w:val="18"/>
          <w:szCs w:val="18"/>
        </w:rPr>
        <w:t xml:space="preserve"> “developed markets fund,” which </w:t>
      </w:r>
      <w:r w:rsidR="00725728" w:rsidRPr="0077225D">
        <w:rPr>
          <w:rFonts w:cs="Times New Roman"/>
          <w:sz w:val="18"/>
          <w:szCs w:val="18"/>
        </w:rPr>
        <w:t>is</w:t>
      </w:r>
      <w:r w:rsidR="00195D4F" w:rsidRPr="0077225D">
        <w:rPr>
          <w:rFonts w:cs="Times New Roman"/>
          <w:sz w:val="18"/>
          <w:szCs w:val="18"/>
        </w:rPr>
        <w:t xml:space="preserve"> more heavily weighted in companies located in</w:t>
      </w:r>
      <w:r w:rsidR="00725728" w:rsidRPr="0077225D">
        <w:rPr>
          <w:rFonts w:cs="Times New Roman"/>
          <w:sz w:val="18"/>
          <w:szCs w:val="18"/>
        </w:rPr>
        <w:t xml:space="preserve"> countries with which the United States has entered into a comprehensive </w:t>
      </w:r>
      <w:r w:rsidR="00830622" w:rsidRPr="0077225D">
        <w:rPr>
          <w:rFonts w:cs="Times New Roman"/>
          <w:sz w:val="18"/>
          <w:szCs w:val="18"/>
        </w:rPr>
        <w:t>treaty, like</w:t>
      </w:r>
      <w:r w:rsidR="00CC1E89" w:rsidRPr="0077225D">
        <w:rPr>
          <w:rFonts w:cs="Times New Roman"/>
          <w:sz w:val="18"/>
          <w:szCs w:val="18"/>
        </w:rPr>
        <w:t xml:space="preserve"> </w:t>
      </w:r>
      <w:r w:rsidR="00195D4F" w:rsidRPr="0077225D">
        <w:rPr>
          <w:rFonts w:cs="Times New Roman"/>
          <w:sz w:val="18"/>
          <w:szCs w:val="18"/>
        </w:rPr>
        <w:t>the</w:t>
      </w:r>
      <w:r w:rsidR="00830622" w:rsidRPr="0077225D">
        <w:rPr>
          <w:rFonts w:cs="Times New Roman"/>
          <w:sz w:val="18"/>
          <w:szCs w:val="18"/>
        </w:rPr>
        <w:t xml:space="preserve"> countries of the</w:t>
      </w:r>
      <w:r w:rsidR="00195D4F" w:rsidRPr="0077225D">
        <w:rPr>
          <w:rFonts w:cs="Times New Roman"/>
          <w:sz w:val="18"/>
          <w:szCs w:val="18"/>
        </w:rPr>
        <w:t xml:space="preserve"> EU</w:t>
      </w:r>
      <w:r w:rsidR="00CC1E89" w:rsidRPr="0077225D">
        <w:rPr>
          <w:rFonts w:cs="Times New Roman"/>
          <w:sz w:val="18"/>
          <w:szCs w:val="18"/>
        </w:rPr>
        <w:t xml:space="preserve">, </w:t>
      </w:r>
      <w:r w:rsidR="00830622" w:rsidRPr="0077225D">
        <w:rPr>
          <w:rFonts w:cs="Times New Roman"/>
          <w:sz w:val="18"/>
          <w:szCs w:val="18"/>
        </w:rPr>
        <w:t xml:space="preserve">the </w:t>
      </w:r>
      <w:r w:rsidR="00CC1E89" w:rsidRPr="0077225D">
        <w:rPr>
          <w:rFonts w:cs="Times New Roman"/>
          <w:sz w:val="18"/>
          <w:szCs w:val="18"/>
        </w:rPr>
        <w:t>U</w:t>
      </w:r>
      <w:r w:rsidR="00195D4F" w:rsidRPr="0077225D">
        <w:rPr>
          <w:rFonts w:cs="Times New Roman"/>
          <w:sz w:val="18"/>
          <w:szCs w:val="18"/>
        </w:rPr>
        <w:t>nited Kingdom</w:t>
      </w:r>
      <w:r w:rsidR="00CC1E89" w:rsidRPr="0077225D">
        <w:rPr>
          <w:rFonts w:cs="Times New Roman"/>
          <w:sz w:val="18"/>
          <w:szCs w:val="18"/>
        </w:rPr>
        <w:t xml:space="preserve">, Canada, Australia, </w:t>
      </w:r>
      <w:r w:rsidR="00830622" w:rsidRPr="0077225D">
        <w:rPr>
          <w:rFonts w:cs="Times New Roman"/>
          <w:sz w:val="18"/>
          <w:szCs w:val="18"/>
        </w:rPr>
        <w:t xml:space="preserve">and </w:t>
      </w:r>
      <w:r w:rsidR="00CC1E89" w:rsidRPr="0077225D">
        <w:rPr>
          <w:rFonts w:cs="Times New Roman"/>
          <w:sz w:val="18"/>
          <w:szCs w:val="18"/>
        </w:rPr>
        <w:t>Korea</w:t>
      </w:r>
      <w:r w:rsidR="00830622" w:rsidRPr="0077225D">
        <w:rPr>
          <w:rFonts w:cs="Times New Roman"/>
          <w:sz w:val="18"/>
          <w:szCs w:val="18"/>
        </w:rPr>
        <w:t>.</w:t>
      </w:r>
      <w:r w:rsidR="00195D4F" w:rsidRPr="0077225D">
        <w:rPr>
          <w:rFonts w:cs="Times New Roman"/>
          <w:sz w:val="18"/>
          <w:szCs w:val="18"/>
        </w:rPr>
        <w:t xml:space="preserve"> </w:t>
      </w:r>
    </w:p>
  </w:footnote>
  <w:footnote w:id="182">
    <w:p w14:paraId="0FF341BF" w14:textId="4A7A09E0" w:rsidR="00DC6008" w:rsidRPr="0077225D" w:rsidRDefault="00DC6008"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6009E2" w:rsidRPr="0068133F">
        <w:rPr>
          <w:rFonts w:cs="Times New Roman"/>
          <w:i/>
          <w:iCs/>
          <w:sz w:val="18"/>
          <w:szCs w:val="18"/>
        </w:rPr>
        <w:t>See</w:t>
      </w:r>
      <w:r w:rsidR="006009E2" w:rsidRPr="00A76332">
        <w:rPr>
          <w:rFonts w:cs="Times New Roman"/>
          <w:sz w:val="18"/>
          <w:szCs w:val="18"/>
        </w:rPr>
        <w:t xml:space="preserve"> </w:t>
      </w:r>
      <w:r w:rsidR="00626A36" w:rsidRPr="0077225D">
        <w:rPr>
          <w:rFonts w:cs="Times New Roman"/>
          <w:sz w:val="18"/>
          <w:szCs w:val="18"/>
        </w:rPr>
        <w:t>Skadden, Arps, Slate, Meagher</w:t>
      </w:r>
      <w:r w:rsidR="00FE3883" w:rsidRPr="0077225D">
        <w:rPr>
          <w:rFonts w:cs="Times New Roman"/>
          <w:sz w:val="18"/>
          <w:szCs w:val="18"/>
        </w:rPr>
        <w:t xml:space="preserve"> &amp; Flom LLP, Comments Re Treas. Reg. § 1.367(b)-3</w:t>
      </w:r>
      <w:r w:rsidR="009A7D55" w:rsidRPr="0077225D">
        <w:rPr>
          <w:rFonts w:cs="Times New Roman"/>
          <w:sz w:val="18"/>
          <w:szCs w:val="18"/>
        </w:rPr>
        <w:t>, at 15-16</w:t>
      </w:r>
      <w:r w:rsidR="006009E2" w:rsidRPr="0077225D">
        <w:rPr>
          <w:rFonts w:cs="Times New Roman"/>
          <w:sz w:val="18"/>
          <w:szCs w:val="18"/>
        </w:rPr>
        <w:t xml:space="preserve"> (Aug. 25</w:t>
      </w:r>
      <w:r w:rsidR="00204C75" w:rsidRPr="0077225D">
        <w:rPr>
          <w:rFonts w:cs="Times New Roman"/>
          <w:sz w:val="18"/>
          <w:szCs w:val="18"/>
        </w:rPr>
        <w:t xml:space="preserve">, </w:t>
      </w:r>
      <w:r w:rsidR="006009E2" w:rsidRPr="0077225D">
        <w:rPr>
          <w:rFonts w:cs="Times New Roman"/>
          <w:sz w:val="18"/>
          <w:szCs w:val="18"/>
        </w:rPr>
        <w:t>2021</w:t>
      </w:r>
      <w:r w:rsidR="00204C75" w:rsidRPr="0077225D">
        <w:rPr>
          <w:rFonts w:cs="Times New Roman"/>
          <w:sz w:val="18"/>
          <w:szCs w:val="18"/>
        </w:rPr>
        <w:t>) (the “</w:t>
      </w:r>
      <w:r w:rsidR="00204C75" w:rsidRPr="0077225D">
        <w:rPr>
          <w:rFonts w:cs="Times New Roman"/>
          <w:b/>
          <w:sz w:val="18"/>
          <w:szCs w:val="18"/>
        </w:rPr>
        <w:t>Skadden letter</w:t>
      </w:r>
      <w:r w:rsidR="00204C75" w:rsidRPr="0077225D">
        <w:rPr>
          <w:rFonts w:cs="Times New Roman"/>
          <w:sz w:val="18"/>
          <w:szCs w:val="18"/>
        </w:rPr>
        <w:t>”)</w:t>
      </w:r>
      <w:r w:rsidR="0083130C" w:rsidRPr="0077225D">
        <w:rPr>
          <w:rFonts w:cs="Times New Roman"/>
          <w:sz w:val="18"/>
          <w:szCs w:val="18"/>
        </w:rPr>
        <w:t>;</w:t>
      </w:r>
      <w:r w:rsidR="00204C75" w:rsidRPr="0077225D">
        <w:rPr>
          <w:rFonts w:cs="Times New Roman"/>
          <w:sz w:val="18"/>
          <w:szCs w:val="18"/>
        </w:rPr>
        <w:t xml:space="preserve"> </w:t>
      </w:r>
      <w:r w:rsidR="0083130C" w:rsidRPr="0077225D">
        <w:rPr>
          <w:rFonts w:cs="Times New Roman"/>
          <w:sz w:val="18"/>
          <w:szCs w:val="18"/>
        </w:rPr>
        <w:t xml:space="preserve">New York State Bar Association, Report </w:t>
      </w:r>
      <w:r w:rsidR="00934FC8" w:rsidRPr="0077225D">
        <w:rPr>
          <w:rFonts w:cs="Times New Roman"/>
          <w:sz w:val="18"/>
          <w:szCs w:val="18"/>
        </w:rPr>
        <w:t>1463: An Analysis of Potential Design Changes to Regulation Section 1.367(b)-3 in Light of the Tax Cuts and Jobs Act</w:t>
      </w:r>
      <w:r w:rsidR="00394D5B" w:rsidRPr="0077225D">
        <w:rPr>
          <w:rFonts w:cs="Times New Roman"/>
          <w:sz w:val="18"/>
          <w:szCs w:val="18"/>
        </w:rPr>
        <w:t xml:space="preserve">, at </w:t>
      </w:r>
      <w:r w:rsidR="00D63071" w:rsidRPr="0077225D">
        <w:rPr>
          <w:rFonts w:cs="Times New Roman"/>
          <w:sz w:val="18"/>
          <w:szCs w:val="18"/>
        </w:rPr>
        <w:t>5</w:t>
      </w:r>
      <w:r w:rsidR="00204C75" w:rsidRPr="0077225D">
        <w:rPr>
          <w:rFonts w:cs="Times New Roman"/>
          <w:sz w:val="18"/>
          <w:szCs w:val="18"/>
        </w:rPr>
        <w:t xml:space="preserve"> </w:t>
      </w:r>
      <w:r w:rsidR="002F30DA" w:rsidRPr="0077225D">
        <w:rPr>
          <w:rFonts w:cs="Times New Roman"/>
          <w:sz w:val="18"/>
          <w:szCs w:val="18"/>
        </w:rPr>
        <w:t>(June 28, 2022) (the “</w:t>
      </w:r>
      <w:r w:rsidR="002F30DA" w:rsidRPr="0077225D">
        <w:rPr>
          <w:rFonts w:cs="Times New Roman"/>
          <w:b/>
          <w:sz w:val="18"/>
          <w:szCs w:val="18"/>
        </w:rPr>
        <w:t>NYSBA 2022 letter</w:t>
      </w:r>
      <w:r w:rsidR="002F30DA" w:rsidRPr="0077225D">
        <w:rPr>
          <w:rFonts w:cs="Times New Roman"/>
          <w:sz w:val="18"/>
          <w:szCs w:val="18"/>
        </w:rPr>
        <w:t xml:space="preserve">”). </w:t>
      </w:r>
    </w:p>
  </w:footnote>
  <w:footnote w:id="183">
    <w:p w14:paraId="624F21F7" w14:textId="2EB8A486" w:rsidR="0098779B" w:rsidRPr="0077225D" w:rsidRDefault="0098779B" w:rsidP="00E15AEF">
      <w:pPr>
        <w:pStyle w:val="FootnoteText"/>
        <w:spacing w:after="120"/>
        <w:rPr>
          <w:rFonts w:cs="Times New Roman"/>
          <w:sz w:val="18"/>
          <w:szCs w:val="18"/>
        </w:rPr>
      </w:pPr>
      <w:r w:rsidRPr="00BC1AD2">
        <w:rPr>
          <w:rStyle w:val="FootnoteReference"/>
          <w:rFonts w:cs="Times New Roman"/>
          <w:sz w:val="18"/>
          <w:szCs w:val="18"/>
        </w:rPr>
        <w:footnoteRef/>
      </w:r>
      <w:r w:rsidRPr="00BC1AD2">
        <w:rPr>
          <w:rFonts w:cs="Times New Roman"/>
          <w:sz w:val="18"/>
          <w:szCs w:val="18"/>
        </w:rPr>
        <w:t xml:space="preserve"> As discussed above in </w:t>
      </w:r>
      <w:r w:rsidRPr="00A76332">
        <w:rPr>
          <w:rFonts w:cs="Times New Roman"/>
          <w:sz w:val="18"/>
          <w:szCs w:val="18"/>
        </w:rPr>
        <w:t xml:space="preserve">Parts II.B and II.D, there </w:t>
      </w:r>
      <w:r w:rsidR="00AD64FC" w:rsidRPr="0077225D">
        <w:rPr>
          <w:rFonts w:cs="Times New Roman"/>
          <w:sz w:val="18"/>
          <w:szCs w:val="18"/>
        </w:rPr>
        <w:t xml:space="preserve">was </w:t>
      </w:r>
      <w:r w:rsidRPr="0077225D">
        <w:rPr>
          <w:rFonts w:cs="Times New Roman"/>
          <w:sz w:val="18"/>
          <w:szCs w:val="18"/>
        </w:rPr>
        <w:t xml:space="preserve">some uncertainty as to whether </w:t>
      </w:r>
      <w:r w:rsidR="00BE16D8" w:rsidRPr="0077225D">
        <w:rPr>
          <w:rFonts w:cs="Times New Roman"/>
          <w:sz w:val="18"/>
          <w:szCs w:val="18"/>
        </w:rPr>
        <w:t xml:space="preserve">Treasury and the IRS intended that </w:t>
      </w:r>
      <w:r w:rsidRPr="0077225D">
        <w:rPr>
          <w:rFonts w:cs="Times New Roman"/>
          <w:sz w:val="18"/>
          <w:szCs w:val="18"/>
        </w:rPr>
        <w:t xml:space="preserve">small </w:t>
      </w:r>
      <w:r w:rsidR="0032608D" w:rsidRPr="0077225D">
        <w:rPr>
          <w:rFonts w:cs="Times New Roman"/>
          <w:i/>
          <w:sz w:val="18"/>
          <w:szCs w:val="18"/>
        </w:rPr>
        <w:t xml:space="preserve">corporate </w:t>
      </w:r>
      <w:r w:rsidRPr="0077225D">
        <w:rPr>
          <w:rFonts w:cs="Times New Roman"/>
          <w:sz w:val="18"/>
          <w:szCs w:val="18"/>
        </w:rPr>
        <w:t xml:space="preserve">shareholders </w:t>
      </w:r>
      <w:r w:rsidR="00BE16D8" w:rsidRPr="0077225D">
        <w:rPr>
          <w:rFonts w:cs="Times New Roman"/>
          <w:sz w:val="18"/>
          <w:szCs w:val="18"/>
        </w:rPr>
        <w:t xml:space="preserve">be </w:t>
      </w:r>
      <w:r w:rsidRPr="0077225D">
        <w:rPr>
          <w:rFonts w:cs="Times New Roman"/>
          <w:sz w:val="18"/>
          <w:szCs w:val="18"/>
        </w:rPr>
        <w:t xml:space="preserve">excluded from </w:t>
      </w:r>
      <w:r w:rsidR="0032608D" w:rsidRPr="0077225D">
        <w:rPr>
          <w:rFonts w:cs="Times New Roman"/>
          <w:sz w:val="18"/>
          <w:szCs w:val="18"/>
        </w:rPr>
        <w:t xml:space="preserve">including in income their all E&amp;P amount under </w:t>
      </w:r>
      <w:r w:rsidR="004C4C39" w:rsidRPr="0077225D">
        <w:rPr>
          <w:rFonts w:cs="Times New Roman"/>
          <w:sz w:val="18"/>
          <w:szCs w:val="18"/>
        </w:rPr>
        <w:t>the temporary regulations.</w:t>
      </w:r>
    </w:p>
  </w:footnote>
  <w:footnote w:id="184">
    <w:p w14:paraId="4D8D4DD4" w14:textId="02FAF1A4" w:rsidR="00396903" w:rsidRPr="00A76332" w:rsidRDefault="00396903"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E135FB">
        <w:rPr>
          <w:rFonts w:cs="Times New Roman"/>
          <w:sz w:val="18"/>
          <w:szCs w:val="18"/>
        </w:rPr>
        <w:t xml:space="preserve">1962 </w:t>
      </w:r>
      <w:r w:rsidRPr="0068133F">
        <w:rPr>
          <w:rFonts w:cs="Times New Roman"/>
          <w:sz w:val="18"/>
          <w:szCs w:val="18"/>
        </w:rPr>
        <w:t>House Report</w:t>
      </w:r>
      <w:r w:rsidR="00081170">
        <w:rPr>
          <w:rFonts w:cs="Times New Roman"/>
          <w:sz w:val="18"/>
          <w:szCs w:val="18"/>
        </w:rPr>
        <w:t xml:space="preserve"> at</w:t>
      </w:r>
      <w:r w:rsidRPr="0068133F">
        <w:rPr>
          <w:rFonts w:cs="Times New Roman"/>
          <w:sz w:val="18"/>
          <w:szCs w:val="18"/>
        </w:rPr>
        <w:t xml:space="preserve"> 57. </w:t>
      </w:r>
    </w:p>
  </w:footnote>
  <w:footnote w:id="185">
    <w:p w14:paraId="3B8CF595" w14:textId="21B59C3E" w:rsidR="00396903" w:rsidRPr="0068133F" w:rsidRDefault="00396903"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081170">
        <w:rPr>
          <w:rFonts w:cs="Times New Roman"/>
          <w:i/>
          <w:iCs/>
          <w:sz w:val="18"/>
          <w:szCs w:val="18"/>
        </w:rPr>
        <w:t>Id.</w:t>
      </w:r>
      <w:r w:rsidRPr="0068133F">
        <w:rPr>
          <w:rFonts w:cs="Times New Roman"/>
          <w:sz w:val="18"/>
          <w:szCs w:val="18"/>
        </w:rPr>
        <w:t xml:space="preserve"> at 59. </w:t>
      </w:r>
    </w:p>
  </w:footnote>
  <w:footnote w:id="186">
    <w:p w14:paraId="6F667297" w14:textId="79597E7F" w:rsidR="00AA414E" w:rsidRPr="0077225D" w:rsidRDefault="00AA414E" w:rsidP="00E15AEF">
      <w:pPr>
        <w:pStyle w:val="FootnoteText"/>
        <w:spacing w:after="120"/>
        <w:rPr>
          <w:rFonts w:cs="Times New Roman"/>
          <w:sz w:val="18"/>
          <w:szCs w:val="18"/>
        </w:rPr>
      </w:pPr>
      <w:r w:rsidRPr="0068133F">
        <w:rPr>
          <w:rStyle w:val="FootnoteReference"/>
          <w:rFonts w:cs="Times New Roman"/>
          <w:sz w:val="18"/>
          <w:szCs w:val="18"/>
        </w:rPr>
        <w:footnoteRef/>
      </w:r>
      <w:r w:rsidR="00A96768" w:rsidRPr="0068133F">
        <w:rPr>
          <w:rFonts w:cs="Times New Roman"/>
          <w:sz w:val="18"/>
          <w:szCs w:val="18"/>
        </w:rPr>
        <w:t xml:space="preserve"> </w:t>
      </w:r>
      <w:r w:rsidR="00321D3E" w:rsidRPr="0068133F">
        <w:rPr>
          <w:rFonts w:cs="Times New Roman"/>
          <w:i/>
          <w:iCs/>
          <w:sz w:val="18"/>
          <w:szCs w:val="18"/>
        </w:rPr>
        <w:t xml:space="preserve">See, e.g., </w:t>
      </w:r>
      <w:r w:rsidR="00A96768" w:rsidRPr="00BC1AD2">
        <w:rPr>
          <w:rFonts w:cs="Times New Roman"/>
          <w:i/>
          <w:sz w:val="18"/>
          <w:szCs w:val="18"/>
        </w:rPr>
        <w:t>Eisner v. Macomber</w:t>
      </w:r>
      <w:r w:rsidR="00A96768" w:rsidRPr="00BC1AD2">
        <w:rPr>
          <w:rFonts w:cs="Times New Roman"/>
          <w:sz w:val="18"/>
          <w:szCs w:val="18"/>
        </w:rPr>
        <w:t>, 252 U.S. 189</w:t>
      </w:r>
      <w:r w:rsidR="00F5318A" w:rsidRPr="00BC1AD2">
        <w:rPr>
          <w:rFonts w:cs="Times New Roman"/>
          <w:sz w:val="18"/>
          <w:szCs w:val="18"/>
        </w:rPr>
        <w:t xml:space="preserve">, </w:t>
      </w:r>
      <w:r w:rsidR="00627E3A" w:rsidRPr="004744EA">
        <w:rPr>
          <w:rFonts w:cs="Times New Roman"/>
          <w:sz w:val="18"/>
          <w:szCs w:val="18"/>
        </w:rPr>
        <w:t>211</w:t>
      </w:r>
      <w:r w:rsidR="00F5318A" w:rsidRPr="00A76332">
        <w:rPr>
          <w:rFonts w:cs="Times New Roman"/>
          <w:sz w:val="18"/>
          <w:szCs w:val="18"/>
        </w:rPr>
        <w:t xml:space="preserve"> (1920)</w:t>
      </w:r>
      <w:r w:rsidRPr="0077225D">
        <w:rPr>
          <w:rFonts w:cs="Times New Roman"/>
          <w:sz w:val="18"/>
          <w:szCs w:val="18"/>
        </w:rPr>
        <w:t xml:space="preserve"> </w:t>
      </w:r>
      <w:r w:rsidR="00627E3A" w:rsidRPr="0077225D">
        <w:rPr>
          <w:rFonts w:cs="Times New Roman"/>
          <w:sz w:val="18"/>
          <w:szCs w:val="18"/>
        </w:rPr>
        <w:t>(</w:t>
      </w:r>
      <w:r w:rsidR="00FD0DF2" w:rsidRPr="0077225D">
        <w:rPr>
          <w:rFonts w:cs="Times New Roman"/>
          <w:sz w:val="18"/>
          <w:szCs w:val="18"/>
        </w:rPr>
        <w:t xml:space="preserve">ruling that </w:t>
      </w:r>
      <w:r w:rsidR="00F25C66" w:rsidRPr="0077225D">
        <w:rPr>
          <w:rFonts w:cs="Times New Roman"/>
          <w:sz w:val="18"/>
          <w:szCs w:val="18"/>
        </w:rPr>
        <w:t xml:space="preserve">a stock dividend received by a shareholder was not a realization event). </w:t>
      </w:r>
    </w:p>
  </w:footnote>
  <w:footnote w:id="187">
    <w:p w14:paraId="1A30E873" w14:textId="515E3F0B" w:rsidR="009B14E8" w:rsidRPr="0077225D" w:rsidRDefault="009B14E8" w:rsidP="00E15AEF">
      <w:pPr>
        <w:pStyle w:val="FootnoteText"/>
        <w:spacing w:after="120"/>
        <w:rPr>
          <w:rFonts w:cs="Times New Roman"/>
          <w:sz w:val="18"/>
          <w:szCs w:val="18"/>
        </w:rPr>
      </w:pPr>
      <w:r w:rsidRPr="00BC1AD2">
        <w:rPr>
          <w:rStyle w:val="FootnoteReference"/>
          <w:rFonts w:cs="Times New Roman"/>
          <w:sz w:val="18"/>
          <w:szCs w:val="18"/>
        </w:rPr>
        <w:footnoteRef/>
      </w:r>
      <w:r w:rsidRPr="00BC1AD2">
        <w:rPr>
          <w:rFonts w:cs="Times New Roman"/>
          <w:sz w:val="18"/>
          <w:szCs w:val="18"/>
        </w:rPr>
        <w:t xml:space="preserve"> </w:t>
      </w:r>
      <w:r w:rsidR="000B34EA" w:rsidRPr="00BC1AD2">
        <w:rPr>
          <w:rFonts w:cs="Times New Roman"/>
          <w:sz w:val="18"/>
          <w:szCs w:val="18"/>
        </w:rPr>
        <w:t xml:space="preserve">The Build Back Better Act, as passed by the House, would have </w:t>
      </w:r>
      <w:r w:rsidR="0054095F" w:rsidRPr="00BC1AD2">
        <w:rPr>
          <w:rFonts w:cs="Times New Roman"/>
          <w:sz w:val="18"/>
          <w:szCs w:val="18"/>
        </w:rPr>
        <w:t>enacted sec</w:t>
      </w:r>
      <w:r w:rsidR="0054095F" w:rsidRPr="004744EA">
        <w:rPr>
          <w:rFonts w:cs="Times New Roman"/>
          <w:sz w:val="18"/>
          <w:szCs w:val="18"/>
        </w:rPr>
        <w:t>tion 105</w:t>
      </w:r>
      <w:r w:rsidR="0054095F" w:rsidRPr="00A76332">
        <w:rPr>
          <w:rFonts w:cs="Times New Roman"/>
          <w:sz w:val="18"/>
          <w:szCs w:val="18"/>
        </w:rPr>
        <w:t>9(g)</w:t>
      </w:r>
      <w:r w:rsidR="00134D81" w:rsidRPr="00A76332">
        <w:rPr>
          <w:rFonts w:cs="Times New Roman"/>
          <w:sz w:val="18"/>
          <w:szCs w:val="18"/>
        </w:rPr>
        <w:t>,</w:t>
      </w:r>
      <w:r w:rsidR="006B7B9A" w:rsidRPr="00A76332">
        <w:rPr>
          <w:rFonts w:cs="Times New Roman"/>
          <w:sz w:val="18"/>
          <w:szCs w:val="18"/>
        </w:rPr>
        <w:t xml:space="preserve"> which indeed would have </w:t>
      </w:r>
      <w:r w:rsidR="006B7B9A" w:rsidRPr="0077225D">
        <w:rPr>
          <w:rFonts w:cs="Times New Roman"/>
          <w:sz w:val="18"/>
          <w:szCs w:val="18"/>
        </w:rPr>
        <w:t xml:space="preserve">effectively denied the benefit of a Code Sec. 245A DRD </w:t>
      </w:r>
      <w:r w:rsidR="00EA54B2" w:rsidRPr="0077225D">
        <w:rPr>
          <w:rFonts w:cs="Times New Roman"/>
          <w:sz w:val="18"/>
          <w:szCs w:val="18"/>
        </w:rPr>
        <w:t xml:space="preserve">with respect to a dividend to the extent out of E&amp;P </w:t>
      </w:r>
      <w:r w:rsidR="00DC7969" w:rsidRPr="0077225D">
        <w:rPr>
          <w:rFonts w:cs="Times New Roman"/>
          <w:sz w:val="18"/>
          <w:szCs w:val="18"/>
        </w:rPr>
        <w:t>earned before the foreign corporation was a CFC</w:t>
      </w:r>
      <w:r w:rsidR="0075736B" w:rsidRPr="0077225D">
        <w:rPr>
          <w:rFonts w:cs="Times New Roman"/>
          <w:sz w:val="18"/>
          <w:szCs w:val="18"/>
        </w:rPr>
        <w:t xml:space="preserve"> by treating such dividend as a </w:t>
      </w:r>
      <w:r w:rsidR="0075736B" w:rsidRPr="0077225D">
        <w:rPr>
          <w:rFonts w:cs="Times New Roman"/>
          <w:i/>
          <w:sz w:val="18"/>
          <w:szCs w:val="18"/>
        </w:rPr>
        <w:t xml:space="preserve">per se </w:t>
      </w:r>
      <w:r w:rsidR="0075736B" w:rsidRPr="0077225D">
        <w:rPr>
          <w:rFonts w:cs="Times New Roman"/>
          <w:sz w:val="18"/>
          <w:szCs w:val="18"/>
        </w:rPr>
        <w:t xml:space="preserve">extraordinary dividend for purposes of Code Sec. 1059.H.R. 5376, 117th Cong. §138148 (2021). However, this provision was not included in the final </w:t>
      </w:r>
      <w:r w:rsidR="00BF626D" w:rsidRPr="0077225D">
        <w:rPr>
          <w:rFonts w:cs="Times New Roman"/>
          <w:sz w:val="18"/>
          <w:szCs w:val="18"/>
        </w:rPr>
        <w:t xml:space="preserve">bill that became </w:t>
      </w:r>
      <w:r w:rsidR="0075736B" w:rsidRPr="0077225D">
        <w:rPr>
          <w:rFonts w:cs="Times New Roman"/>
          <w:sz w:val="18"/>
          <w:szCs w:val="18"/>
        </w:rPr>
        <w:t>the Inflation Reduction Act</w:t>
      </w:r>
      <w:r w:rsidR="00BF626D" w:rsidRPr="0077225D">
        <w:rPr>
          <w:rFonts w:cs="Times New Roman"/>
          <w:sz w:val="18"/>
          <w:szCs w:val="18"/>
        </w:rPr>
        <w:t xml:space="preserve"> of 2022. H.R. 5376, Public Law 117-169.</w:t>
      </w:r>
    </w:p>
  </w:footnote>
  <w:footnote w:id="188">
    <w:p w14:paraId="372D4B49" w14:textId="1FA5CCE3" w:rsidR="005728BF" w:rsidRPr="0077225D" w:rsidRDefault="005728BF"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iCs/>
          <w:sz w:val="18"/>
          <w:szCs w:val="18"/>
        </w:rPr>
        <w:t xml:space="preserve">See </w:t>
      </w:r>
      <w:r w:rsidRPr="0068133F">
        <w:rPr>
          <w:rFonts w:cs="Times New Roman"/>
          <w:sz w:val="18"/>
          <w:szCs w:val="18"/>
        </w:rPr>
        <w:t xml:space="preserve">1992 NYSBA </w:t>
      </w:r>
      <w:r w:rsidR="00702E92">
        <w:rPr>
          <w:rFonts w:cs="Times New Roman"/>
          <w:sz w:val="18"/>
          <w:szCs w:val="18"/>
        </w:rPr>
        <w:t>r</w:t>
      </w:r>
      <w:r w:rsidRPr="0068133F">
        <w:rPr>
          <w:rFonts w:cs="Times New Roman"/>
          <w:sz w:val="18"/>
          <w:szCs w:val="18"/>
        </w:rPr>
        <w:t>eport, pg.</w:t>
      </w:r>
      <w:r w:rsidR="00211E9D" w:rsidRPr="0068133F">
        <w:rPr>
          <w:rFonts w:cs="Times New Roman"/>
          <w:sz w:val="18"/>
          <w:szCs w:val="18"/>
        </w:rPr>
        <w:t xml:space="preserve"> </w:t>
      </w:r>
      <w:r w:rsidR="00211E9D" w:rsidRPr="004744EA">
        <w:rPr>
          <w:rFonts w:cs="Times New Roman"/>
          <w:sz w:val="18"/>
          <w:szCs w:val="18"/>
        </w:rPr>
        <w:t>58 (</w:t>
      </w:r>
      <w:r w:rsidR="00211E9D" w:rsidRPr="00A76332">
        <w:rPr>
          <w:rFonts w:cs="Times New Roman"/>
          <w:sz w:val="18"/>
          <w:szCs w:val="18"/>
        </w:rPr>
        <w:t>“[S]</w:t>
      </w:r>
      <w:r w:rsidRPr="00A76332">
        <w:rPr>
          <w:rFonts w:cs="Times New Roman"/>
          <w:sz w:val="18"/>
          <w:szCs w:val="18"/>
        </w:rPr>
        <w:t>hareholder-level gain may bear no relation to the all earnings and profits amount which the rules should be designed to capture. This imprecision strengthens the case that, as a policy matter, small shareholders otherwise qualifying for non-recog</w:t>
      </w:r>
      <w:r w:rsidRPr="0077225D">
        <w:rPr>
          <w:rFonts w:cs="Times New Roman"/>
          <w:sz w:val="18"/>
          <w:szCs w:val="18"/>
        </w:rPr>
        <w:t>nition treatment should not be denied such treatment by section 367(b). In our view, such shareholders are not logical persons to penalize for any tax benefits accruing to the acquiring domestic corporation</w:t>
      </w:r>
      <w:r w:rsidR="00211E9D" w:rsidRPr="0077225D">
        <w:rPr>
          <w:rFonts w:cs="Times New Roman"/>
          <w:sz w:val="18"/>
          <w:szCs w:val="18"/>
        </w:rPr>
        <w:t>.”)</w:t>
      </w:r>
    </w:p>
  </w:footnote>
  <w:footnote w:id="189">
    <w:p w14:paraId="1B114EC9" w14:textId="5983082F" w:rsidR="0075016B" w:rsidRPr="0077225D" w:rsidRDefault="0075016B"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68133F">
        <w:rPr>
          <w:rFonts w:cs="Times New Roman"/>
          <w:i/>
          <w:iCs/>
          <w:sz w:val="18"/>
          <w:szCs w:val="18"/>
        </w:rPr>
        <w:t xml:space="preserve">Cf. </w:t>
      </w:r>
      <w:r w:rsidRPr="00BC1AD2">
        <w:rPr>
          <w:rFonts w:cs="Times New Roman"/>
          <w:sz w:val="18"/>
          <w:szCs w:val="18"/>
        </w:rPr>
        <w:t>T</w:t>
      </w:r>
      <w:r w:rsidR="00F7740E" w:rsidRPr="00BC1AD2">
        <w:rPr>
          <w:rFonts w:cs="Times New Roman"/>
          <w:sz w:val="18"/>
          <w:szCs w:val="18"/>
        </w:rPr>
        <w:t>.</w:t>
      </w:r>
      <w:r w:rsidRPr="00BC1AD2">
        <w:rPr>
          <w:rFonts w:cs="Times New Roman"/>
          <w:sz w:val="18"/>
          <w:szCs w:val="18"/>
        </w:rPr>
        <w:t>D</w:t>
      </w:r>
      <w:r w:rsidR="00F7740E" w:rsidRPr="00BC1AD2">
        <w:rPr>
          <w:rFonts w:cs="Times New Roman"/>
          <w:sz w:val="18"/>
          <w:szCs w:val="18"/>
        </w:rPr>
        <w:t>.</w:t>
      </w:r>
      <w:r w:rsidRPr="00BC1AD2">
        <w:rPr>
          <w:rFonts w:cs="Times New Roman"/>
          <w:sz w:val="18"/>
          <w:szCs w:val="18"/>
        </w:rPr>
        <w:t xml:space="preserve"> 9243</w:t>
      </w:r>
      <w:r w:rsidR="00443301" w:rsidRPr="004744EA">
        <w:rPr>
          <w:rFonts w:cs="Times New Roman"/>
          <w:sz w:val="18"/>
          <w:szCs w:val="18"/>
        </w:rPr>
        <w:t>, 71 Fed. Reg. 4276</w:t>
      </w:r>
      <w:r w:rsidR="00443301" w:rsidRPr="00A76332">
        <w:rPr>
          <w:rFonts w:cs="Times New Roman"/>
          <w:sz w:val="18"/>
          <w:szCs w:val="18"/>
        </w:rPr>
        <w:t xml:space="preserve">, </w:t>
      </w:r>
      <w:r w:rsidR="00F7740E" w:rsidRPr="00A76332">
        <w:rPr>
          <w:rFonts w:cs="Times New Roman"/>
          <w:sz w:val="18"/>
          <w:szCs w:val="18"/>
        </w:rPr>
        <w:t>4278 (Jan.</w:t>
      </w:r>
      <w:r w:rsidR="00F7740E" w:rsidRPr="0077225D">
        <w:rPr>
          <w:rFonts w:cs="Times New Roman"/>
          <w:sz w:val="18"/>
          <w:szCs w:val="18"/>
        </w:rPr>
        <w:t xml:space="preserve"> 26, 2006)</w:t>
      </w:r>
      <w:r w:rsidRPr="0077225D">
        <w:rPr>
          <w:rFonts w:cs="Times New Roman"/>
          <w:sz w:val="18"/>
          <w:szCs w:val="18"/>
        </w:rPr>
        <w:t xml:space="preserve"> </w:t>
      </w:r>
      <w:r w:rsidR="00F7740E" w:rsidRPr="0077225D">
        <w:rPr>
          <w:rFonts w:cs="Times New Roman"/>
          <w:sz w:val="18"/>
          <w:szCs w:val="18"/>
        </w:rPr>
        <w:t>(</w:t>
      </w:r>
      <w:r w:rsidR="00BE7013" w:rsidRPr="0077225D">
        <w:rPr>
          <w:rFonts w:cs="Times New Roman"/>
          <w:sz w:val="18"/>
          <w:szCs w:val="18"/>
        </w:rPr>
        <w:t xml:space="preserve">rejecting </w:t>
      </w:r>
      <w:r w:rsidR="0040766B" w:rsidRPr="0077225D">
        <w:rPr>
          <w:rFonts w:cs="Times New Roman"/>
          <w:sz w:val="18"/>
          <w:szCs w:val="18"/>
        </w:rPr>
        <w:t>comment requesting changes to the all E&amp;P paradigm of B3 on the grounds that</w:t>
      </w:r>
      <w:r w:rsidRPr="0077225D">
        <w:rPr>
          <w:rFonts w:cs="Times New Roman"/>
          <w:sz w:val="18"/>
          <w:szCs w:val="18"/>
        </w:rPr>
        <w:t xml:space="preserve"> </w:t>
      </w:r>
      <w:r w:rsidR="0040766B" w:rsidRPr="0077225D">
        <w:rPr>
          <w:rFonts w:cs="Times New Roman"/>
          <w:sz w:val="18"/>
          <w:szCs w:val="18"/>
        </w:rPr>
        <w:t>“</w:t>
      </w:r>
      <w:r w:rsidRPr="0077225D">
        <w:rPr>
          <w:rFonts w:cs="Times New Roman"/>
          <w:sz w:val="18"/>
          <w:szCs w:val="18"/>
        </w:rPr>
        <w:t>any such revision would</w:t>
      </w:r>
      <w:r w:rsidR="0040766B" w:rsidRPr="0077225D">
        <w:rPr>
          <w:rFonts w:cs="Times New Roman"/>
          <w:sz w:val="18"/>
          <w:szCs w:val="18"/>
        </w:rPr>
        <w:t xml:space="preserve"> </w:t>
      </w:r>
      <w:r w:rsidRPr="0077225D">
        <w:rPr>
          <w:rFonts w:cs="Times New Roman"/>
          <w:sz w:val="18"/>
          <w:szCs w:val="18"/>
        </w:rPr>
        <w:t>have to take into account recently</w:t>
      </w:r>
      <w:r w:rsidR="0040766B" w:rsidRPr="0077225D">
        <w:rPr>
          <w:rFonts w:cs="Times New Roman"/>
          <w:sz w:val="18"/>
          <w:szCs w:val="18"/>
        </w:rPr>
        <w:t xml:space="preserve"> </w:t>
      </w:r>
      <w:r w:rsidRPr="0077225D">
        <w:rPr>
          <w:rFonts w:cs="Times New Roman"/>
          <w:sz w:val="18"/>
          <w:szCs w:val="18"/>
        </w:rPr>
        <w:t>enacted section 362(e)</w:t>
      </w:r>
      <w:r w:rsidR="0040766B" w:rsidRPr="0077225D">
        <w:rPr>
          <w:rFonts w:cs="Times New Roman"/>
          <w:sz w:val="18"/>
          <w:szCs w:val="18"/>
        </w:rPr>
        <w:t>”)</w:t>
      </w:r>
      <w:r w:rsidRPr="0077225D">
        <w:rPr>
          <w:rFonts w:cs="Times New Roman"/>
          <w:sz w:val="18"/>
          <w:szCs w:val="18"/>
        </w:rPr>
        <w:t>.</w:t>
      </w:r>
    </w:p>
  </w:footnote>
  <w:footnote w:id="190">
    <w:p w14:paraId="41B683B6" w14:textId="3C8C433F" w:rsidR="0090771F" w:rsidRPr="0077225D" w:rsidRDefault="0090771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Pr="00834200">
        <w:rPr>
          <w:rFonts w:cs="Times New Roman"/>
          <w:sz w:val="18"/>
          <w:szCs w:val="18"/>
        </w:rPr>
        <w:t xml:space="preserve">It has been observed </w:t>
      </w:r>
      <w:r w:rsidR="00FD0D1A">
        <w:rPr>
          <w:rFonts w:cs="Times New Roman"/>
          <w:sz w:val="18"/>
          <w:szCs w:val="18"/>
        </w:rPr>
        <w:t xml:space="preserve">that B3 </w:t>
      </w:r>
      <w:r w:rsidR="00AA3A06">
        <w:rPr>
          <w:rFonts w:cs="Times New Roman"/>
          <w:sz w:val="18"/>
          <w:szCs w:val="18"/>
        </w:rPr>
        <w:t xml:space="preserve">is primarily motivated by a </w:t>
      </w:r>
      <w:r w:rsidR="00BE6E99">
        <w:rPr>
          <w:rFonts w:cs="Times New Roman"/>
          <w:sz w:val="18"/>
          <w:szCs w:val="18"/>
        </w:rPr>
        <w:t>concern related to the timing of income</w:t>
      </w:r>
      <w:r w:rsidR="00AA3A06">
        <w:rPr>
          <w:rFonts w:cs="Times New Roman"/>
          <w:sz w:val="18"/>
          <w:szCs w:val="18"/>
        </w:rPr>
        <w:t xml:space="preserve">, not the amount of income. </w:t>
      </w:r>
      <w:r w:rsidR="00BE6E99">
        <w:rPr>
          <w:rFonts w:cs="Times New Roman"/>
          <w:sz w:val="18"/>
          <w:szCs w:val="18"/>
        </w:rPr>
        <w:t xml:space="preserve">In any inbound nonrecognition transaction, </w:t>
      </w:r>
      <w:r w:rsidR="00323E95" w:rsidRPr="00A76332">
        <w:rPr>
          <w:rFonts w:cs="Times New Roman"/>
          <w:sz w:val="18"/>
          <w:szCs w:val="18"/>
        </w:rPr>
        <w:t>unre</w:t>
      </w:r>
      <w:r w:rsidR="00323E95" w:rsidRPr="0077225D">
        <w:rPr>
          <w:rFonts w:cs="Times New Roman"/>
          <w:sz w:val="18"/>
          <w:szCs w:val="18"/>
        </w:rPr>
        <w:t>alized gain continues to be reflected in the exchanging shareholder’s basis in the stock of the domestic acquiring corporation, which will eventually be recognized. However</w:t>
      </w:r>
      <w:r w:rsidR="00AA3A06" w:rsidRPr="0077225D">
        <w:rPr>
          <w:rFonts w:cs="Times New Roman"/>
          <w:sz w:val="18"/>
          <w:szCs w:val="18"/>
        </w:rPr>
        <w:t xml:space="preserve">, </w:t>
      </w:r>
      <w:r w:rsidR="009F30F2" w:rsidRPr="0077225D">
        <w:rPr>
          <w:rFonts w:cs="Times New Roman"/>
          <w:sz w:val="18"/>
          <w:szCs w:val="18"/>
        </w:rPr>
        <w:t xml:space="preserve">pre-TCJA, if a domestic parent were able to inbound its foreign subsidiary </w:t>
      </w:r>
      <w:r w:rsidR="00323E95" w:rsidRPr="0077225D">
        <w:rPr>
          <w:rFonts w:cs="Times New Roman"/>
          <w:sz w:val="18"/>
          <w:szCs w:val="18"/>
        </w:rPr>
        <w:t>E&amp;P</w:t>
      </w:r>
      <w:r w:rsidR="009F30F2" w:rsidRPr="0077225D">
        <w:rPr>
          <w:rFonts w:cs="Times New Roman"/>
          <w:sz w:val="18"/>
          <w:szCs w:val="18"/>
        </w:rPr>
        <w:t xml:space="preserve"> tax-free, t</w:t>
      </w:r>
      <w:r w:rsidR="00150A0A" w:rsidRPr="0077225D">
        <w:rPr>
          <w:rFonts w:cs="Times New Roman"/>
          <w:sz w:val="18"/>
          <w:szCs w:val="18"/>
        </w:rPr>
        <w:t xml:space="preserve">he </w:t>
      </w:r>
      <w:r w:rsidR="00323E95" w:rsidRPr="0077225D">
        <w:rPr>
          <w:rFonts w:cs="Times New Roman"/>
          <w:sz w:val="18"/>
          <w:szCs w:val="18"/>
        </w:rPr>
        <w:t xml:space="preserve">parent could immediately </w:t>
      </w:r>
      <w:r w:rsidR="00C57166" w:rsidRPr="0077225D">
        <w:rPr>
          <w:rFonts w:cs="Times New Roman"/>
          <w:sz w:val="18"/>
          <w:szCs w:val="18"/>
        </w:rPr>
        <w:t xml:space="preserve">depreciate </w:t>
      </w:r>
      <w:r w:rsidR="00150A0A" w:rsidRPr="0077225D">
        <w:rPr>
          <w:rFonts w:cs="Times New Roman"/>
          <w:sz w:val="18"/>
          <w:szCs w:val="18"/>
        </w:rPr>
        <w:t xml:space="preserve">foreign subsidiary’s </w:t>
      </w:r>
      <w:r w:rsidR="00C57166" w:rsidRPr="0077225D">
        <w:rPr>
          <w:rFonts w:cs="Times New Roman"/>
          <w:sz w:val="18"/>
          <w:szCs w:val="18"/>
        </w:rPr>
        <w:t>assets, or could use the foreign subsidiary’s cash to acquire new assets</w:t>
      </w:r>
      <w:r w:rsidR="0036434E" w:rsidRPr="0077225D">
        <w:rPr>
          <w:rFonts w:cs="Times New Roman"/>
          <w:sz w:val="18"/>
          <w:szCs w:val="18"/>
        </w:rPr>
        <w:t xml:space="preserve"> that can be depreciated</w:t>
      </w:r>
      <w:r w:rsidR="00C57166" w:rsidRPr="0077225D">
        <w:rPr>
          <w:rFonts w:cs="Times New Roman"/>
          <w:sz w:val="18"/>
          <w:szCs w:val="18"/>
        </w:rPr>
        <w:t>. This depreciation</w:t>
      </w:r>
      <w:r w:rsidR="0036434E" w:rsidRPr="0077225D">
        <w:rPr>
          <w:rFonts w:cs="Times New Roman"/>
          <w:sz w:val="18"/>
          <w:szCs w:val="18"/>
        </w:rPr>
        <w:t>, if accelerated,</w:t>
      </w:r>
      <w:r w:rsidR="00C57166" w:rsidRPr="0077225D">
        <w:rPr>
          <w:rFonts w:cs="Times New Roman"/>
          <w:sz w:val="18"/>
          <w:szCs w:val="18"/>
        </w:rPr>
        <w:t xml:space="preserve"> produces </w:t>
      </w:r>
      <w:r w:rsidR="00834200" w:rsidRPr="0077225D">
        <w:rPr>
          <w:rFonts w:cs="Times New Roman"/>
          <w:sz w:val="18"/>
          <w:szCs w:val="18"/>
        </w:rPr>
        <w:t>an immediate tax benefit, whereas the resulting gain in the assets and the gain in the stock are generally deferred.</w:t>
      </w:r>
      <w:r w:rsidR="004F1BE3" w:rsidRPr="0077225D">
        <w:rPr>
          <w:rFonts w:cs="Times New Roman"/>
          <w:sz w:val="18"/>
          <w:szCs w:val="18"/>
        </w:rPr>
        <w:t xml:space="preserve"> </w:t>
      </w:r>
      <w:r w:rsidR="004F1BE3" w:rsidRPr="0077225D">
        <w:rPr>
          <w:rFonts w:cs="Times New Roman"/>
          <w:i/>
          <w:sz w:val="18"/>
          <w:szCs w:val="18"/>
        </w:rPr>
        <w:t xml:space="preserve">See </w:t>
      </w:r>
      <w:r w:rsidR="004F1BE3" w:rsidRPr="0077225D">
        <w:rPr>
          <w:rFonts w:cs="Times New Roman"/>
          <w:sz w:val="18"/>
          <w:szCs w:val="18"/>
        </w:rPr>
        <w:t xml:space="preserve">Kingson, 22-27. </w:t>
      </w:r>
      <w:r w:rsidR="00834200" w:rsidRPr="0077225D">
        <w:rPr>
          <w:rFonts w:cs="Times New Roman"/>
          <w:sz w:val="18"/>
          <w:szCs w:val="18"/>
        </w:rPr>
        <w:t xml:space="preserve">This </w:t>
      </w:r>
      <w:r w:rsidR="007121DA" w:rsidRPr="0077225D">
        <w:rPr>
          <w:rFonts w:cs="Times New Roman"/>
          <w:sz w:val="18"/>
          <w:szCs w:val="18"/>
        </w:rPr>
        <w:t>concern is particularly implicated</w:t>
      </w:r>
      <w:r w:rsidR="001906D6" w:rsidRPr="0077225D">
        <w:rPr>
          <w:rFonts w:cs="Times New Roman"/>
          <w:sz w:val="18"/>
          <w:szCs w:val="18"/>
        </w:rPr>
        <w:t xml:space="preserve"> </w:t>
      </w:r>
      <w:r w:rsidR="004F1BE3" w:rsidRPr="0077225D">
        <w:rPr>
          <w:rFonts w:cs="Times New Roman"/>
          <w:sz w:val="18"/>
          <w:szCs w:val="18"/>
        </w:rPr>
        <w:t>when 1</w:t>
      </w:r>
      <w:r w:rsidR="001906D6" w:rsidRPr="0077225D">
        <w:rPr>
          <w:rFonts w:cs="Times New Roman"/>
          <w:sz w:val="18"/>
          <w:szCs w:val="18"/>
        </w:rPr>
        <w:t>00 percent bonus depreciation</w:t>
      </w:r>
      <w:r w:rsidR="004F1BE3" w:rsidRPr="0077225D">
        <w:rPr>
          <w:rFonts w:cs="Times New Roman"/>
          <w:sz w:val="18"/>
          <w:szCs w:val="18"/>
        </w:rPr>
        <w:t xml:space="preserve"> is permitted</w:t>
      </w:r>
      <w:r w:rsidR="001906D6" w:rsidRPr="0077225D">
        <w:rPr>
          <w:rFonts w:cs="Times New Roman"/>
          <w:sz w:val="18"/>
          <w:szCs w:val="18"/>
        </w:rPr>
        <w:t xml:space="preserve">. </w:t>
      </w:r>
      <w:r w:rsidR="00BF433A" w:rsidRPr="0077225D">
        <w:rPr>
          <w:rFonts w:cs="Times New Roman"/>
          <w:i/>
          <w:sz w:val="18"/>
          <w:szCs w:val="18"/>
        </w:rPr>
        <w:t xml:space="preserve">See </w:t>
      </w:r>
      <w:r w:rsidR="00BF433A" w:rsidRPr="0077225D">
        <w:rPr>
          <w:rFonts w:cs="Times New Roman"/>
          <w:sz w:val="18"/>
          <w:szCs w:val="18"/>
        </w:rPr>
        <w:t>Code Sec</w:t>
      </w:r>
      <w:r w:rsidR="00E455EB" w:rsidRPr="0077225D">
        <w:rPr>
          <w:rFonts w:cs="Times New Roman"/>
          <w:sz w:val="18"/>
          <w:szCs w:val="18"/>
        </w:rPr>
        <w:t>. 168(k).</w:t>
      </w:r>
    </w:p>
  </w:footnote>
  <w:footnote w:id="191">
    <w:p w14:paraId="101F192A" w14:textId="12C66D2E" w:rsidR="009E286D" w:rsidRPr="0077225D" w:rsidRDefault="009E286D"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786AC3" w:rsidRPr="0068133F">
        <w:rPr>
          <w:rFonts w:cs="Times New Roman"/>
          <w:sz w:val="18"/>
          <w:szCs w:val="18"/>
        </w:rPr>
        <w:t>Guidelines,</w:t>
      </w:r>
      <w:r w:rsidR="00B01178" w:rsidRPr="0068133F">
        <w:rPr>
          <w:rFonts w:cs="Times New Roman"/>
          <w:sz w:val="18"/>
          <w:szCs w:val="18"/>
        </w:rPr>
        <w:t xml:space="preserve"> §3.03.</w:t>
      </w:r>
      <w:r w:rsidR="00784DF2" w:rsidRPr="0068133F">
        <w:rPr>
          <w:rFonts w:cs="Times New Roman"/>
          <w:sz w:val="18"/>
          <w:szCs w:val="18"/>
        </w:rPr>
        <w:t>; Reg. §7.367(b)-5T(b) (1977).</w:t>
      </w:r>
      <w:r w:rsidR="00384DBA">
        <w:rPr>
          <w:rFonts w:cs="Times New Roman"/>
          <w:sz w:val="18"/>
          <w:szCs w:val="18"/>
        </w:rPr>
        <w:t xml:space="preserve"> However, a</w:t>
      </w:r>
      <w:r w:rsidR="00384DBA" w:rsidRPr="00BC1AD2">
        <w:rPr>
          <w:rFonts w:cs="Times New Roman"/>
          <w:sz w:val="18"/>
          <w:szCs w:val="18"/>
        </w:rPr>
        <w:t xml:space="preserve">s discussed above in Parts II.B and II.D, there was some uncertainty as to whether Treasury and the IRS intended that small </w:t>
      </w:r>
      <w:r w:rsidR="00384DBA" w:rsidRPr="00A76332">
        <w:rPr>
          <w:rFonts w:cs="Times New Roman"/>
          <w:i/>
          <w:sz w:val="18"/>
          <w:szCs w:val="18"/>
        </w:rPr>
        <w:t xml:space="preserve">corporate </w:t>
      </w:r>
      <w:r w:rsidR="00384DBA" w:rsidRPr="0077225D">
        <w:rPr>
          <w:rFonts w:cs="Times New Roman"/>
          <w:sz w:val="18"/>
          <w:szCs w:val="18"/>
        </w:rPr>
        <w:t>shareholders be excluded from including in income their all E&amp;P amount under the temporary regulations.</w:t>
      </w:r>
    </w:p>
  </w:footnote>
  <w:footnote w:id="192">
    <w:p w14:paraId="66DAAAE4" w14:textId="79F40092" w:rsidR="00BC1AD2" w:rsidRPr="0077225D" w:rsidRDefault="00BC1AD2" w:rsidP="00E15AEF">
      <w:pPr>
        <w:pStyle w:val="FootnoteText"/>
        <w:spacing w:after="120"/>
        <w:rPr>
          <w:rFonts w:cs="Times New Roman"/>
          <w:sz w:val="18"/>
          <w:szCs w:val="18"/>
        </w:rPr>
      </w:pPr>
      <w:r w:rsidRPr="0077225D">
        <w:rPr>
          <w:rStyle w:val="FootnoteReference"/>
          <w:rFonts w:cs="Times New Roman"/>
          <w:sz w:val="18"/>
          <w:szCs w:val="18"/>
        </w:rPr>
        <w:footnoteRef/>
      </w:r>
      <w:r w:rsidRPr="0077225D">
        <w:rPr>
          <w:rFonts w:cs="Times New Roman"/>
          <w:sz w:val="18"/>
          <w:szCs w:val="18"/>
        </w:rPr>
        <w:t xml:space="preserve"> </w:t>
      </w:r>
      <w:r>
        <w:rPr>
          <w:rFonts w:cs="Times New Roman"/>
          <w:sz w:val="18"/>
          <w:szCs w:val="18"/>
        </w:rPr>
        <w:t>B</w:t>
      </w:r>
      <w:r w:rsidRPr="0077225D">
        <w:rPr>
          <w:rFonts w:cs="Times New Roman"/>
          <w:sz w:val="18"/>
          <w:szCs w:val="18"/>
        </w:rPr>
        <w:t>ecause,</w:t>
      </w:r>
      <w:r>
        <w:rPr>
          <w:rFonts w:cs="Times New Roman"/>
          <w:sz w:val="18"/>
          <w:szCs w:val="18"/>
        </w:rPr>
        <w:t xml:space="preserve"> for example</w:t>
      </w:r>
      <w:r w:rsidRPr="0077225D">
        <w:rPr>
          <w:rFonts w:cs="Times New Roman"/>
          <w:sz w:val="18"/>
          <w:szCs w:val="18"/>
        </w:rPr>
        <w:t>, the shareholder has an HDA or EDA with respect to the foreign acquired corporation</w:t>
      </w:r>
      <w:r w:rsidR="007903AC">
        <w:rPr>
          <w:rFonts w:cs="Times New Roman"/>
          <w:sz w:val="18"/>
          <w:szCs w:val="18"/>
        </w:rPr>
        <w:t>.</w:t>
      </w:r>
    </w:p>
  </w:footnote>
  <w:footnote w:id="193">
    <w:p w14:paraId="0A7B11AA" w14:textId="094E602B" w:rsidR="00AA1A92" w:rsidRPr="0077225D" w:rsidRDefault="00AA1A92"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DA28F6">
        <w:rPr>
          <w:rFonts w:cs="Times New Roman"/>
          <w:i/>
          <w:iCs/>
          <w:sz w:val="18"/>
          <w:szCs w:val="18"/>
        </w:rPr>
        <w:t xml:space="preserve">See </w:t>
      </w:r>
      <w:r w:rsidR="00DA28F6">
        <w:rPr>
          <w:rFonts w:cs="Times New Roman"/>
          <w:sz w:val="18"/>
          <w:szCs w:val="18"/>
        </w:rPr>
        <w:t>Reg. §1.367(b)-2(e)(3)(ii)</w:t>
      </w:r>
      <w:r w:rsidRPr="0068133F">
        <w:rPr>
          <w:rFonts w:cs="Times New Roman"/>
          <w:sz w:val="18"/>
          <w:szCs w:val="18"/>
        </w:rPr>
        <w:t xml:space="preserve">. </w:t>
      </w:r>
      <w:r w:rsidR="00F219C8" w:rsidRPr="0068133F">
        <w:rPr>
          <w:rFonts w:cs="Times New Roman"/>
          <w:sz w:val="18"/>
          <w:szCs w:val="18"/>
        </w:rPr>
        <w:t xml:space="preserve">In the case of </w:t>
      </w:r>
      <w:r w:rsidR="004D70B8" w:rsidRPr="0068133F">
        <w:rPr>
          <w:rFonts w:cs="Times New Roman"/>
          <w:sz w:val="18"/>
          <w:szCs w:val="18"/>
        </w:rPr>
        <w:t>an inbound liquidation,</w:t>
      </w:r>
      <w:r w:rsidR="00DB6920" w:rsidRPr="0068133F">
        <w:rPr>
          <w:rFonts w:cs="Times New Roman"/>
          <w:sz w:val="18"/>
          <w:szCs w:val="18"/>
        </w:rPr>
        <w:t xml:space="preserve"> there is no such increase, because </w:t>
      </w:r>
      <w:r w:rsidR="00A94D09" w:rsidRPr="0068133F">
        <w:rPr>
          <w:rFonts w:cs="Times New Roman"/>
          <w:sz w:val="18"/>
          <w:szCs w:val="18"/>
        </w:rPr>
        <w:t>the stock of the foreign acquired</w:t>
      </w:r>
      <w:r w:rsidR="00A94D09" w:rsidRPr="00A76332">
        <w:rPr>
          <w:rFonts w:cs="Times New Roman"/>
          <w:sz w:val="18"/>
          <w:szCs w:val="18"/>
        </w:rPr>
        <w:t xml:space="preserve"> corporation, the stock of which is increased, </w:t>
      </w:r>
      <w:r w:rsidR="00D12554" w:rsidRPr="0077225D">
        <w:rPr>
          <w:rFonts w:cs="Times New Roman"/>
          <w:sz w:val="18"/>
          <w:szCs w:val="18"/>
        </w:rPr>
        <w:t>is not exchanged for stock of the domestic acquiring corporation</w:t>
      </w:r>
      <w:r w:rsidR="00F119CE" w:rsidRPr="0077225D">
        <w:rPr>
          <w:rFonts w:cs="Times New Roman"/>
          <w:sz w:val="18"/>
          <w:szCs w:val="18"/>
        </w:rPr>
        <w:t xml:space="preserve">, but rather </w:t>
      </w:r>
      <w:r w:rsidR="009F4C82" w:rsidRPr="0077225D">
        <w:rPr>
          <w:rFonts w:cs="Times New Roman"/>
          <w:sz w:val="18"/>
          <w:szCs w:val="18"/>
        </w:rPr>
        <w:t>extinguished, so the basis increase is not reflected in any stock or property immediately after the transaction.</w:t>
      </w:r>
    </w:p>
  </w:footnote>
  <w:footnote w:id="194">
    <w:p w14:paraId="1F3050AE" w14:textId="77777777" w:rsidR="00667E3F" w:rsidRPr="0068133F" w:rsidRDefault="00667E3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H.R. Rep. No. 94-658, at 241 (1975).</w:t>
      </w:r>
    </w:p>
  </w:footnote>
  <w:footnote w:id="195">
    <w:p w14:paraId="08931188" w14:textId="76360434" w:rsidR="0037774E" w:rsidRPr="0068133F" w:rsidRDefault="0037774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Pr>
          <w:rFonts w:cs="Times New Roman"/>
          <w:sz w:val="18"/>
          <w:szCs w:val="18"/>
        </w:rPr>
        <w:t>Skadden letter,</w:t>
      </w:r>
      <w:r w:rsidR="007E49E8">
        <w:rPr>
          <w:rFonts w:cs="Times New Roman"/>
          <w:sz w:val="18"/>
          <w:szCs w:val="18"/>
        </w:rPr>
        <w:t xml:space="preserve"> at 6-14</w:t>
      </w:r>
      <w:r w:rsidR="008B74EA">
        <w:rPr>
          <w:rFonts w:cs="Times New Roman"/>
          <w:sz w:val="18"/>
          <w:szCs w:val="18"/>
        </w:rPr>
        <w:t>.</w:t>
      </w:r>
    </w:p>
  </w:footnote>
  <w:footnote w:id="196">
    <w:p w14:paraId="7940809A" w14:textId="62C5AC10" w:rsidR="00CE3A16" w:rsidRPr="0068133F" w:rsidRDefault="00CE3A16"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1A57DF" w:rsidRPr="0068133F">
        <w:rPr>
          <w:rFonts w:cs="Times New Roman"/>
          <w:sz w:val="18"/>
          <w:szCs w:val="18"/>
        </w:rPr>
        <w:t xml:space="preserve">See e.g., 2022 NYSBA </w:t>
      </w:r>
      <w:r w:rsidR="00702E92">
        <w:rPr>
          <w:rFonts w:cs="Times New Roman"/>
          <w:sz w:val="18"/>
          <w:szCs w:val="18"/>
        </w:rPr>
        <w:t>r</w:t>
      </w:r>
      <w:r w:rsidR="001A57DF" w:rsidRPr="0068133F">
        <w:rPr>
          <w:rFonts w:cs="Times New Roman"/>
          <w:sz w:val="18"/>
          <w:szCs w:val="18"/>
        </w:rPr>
        <w:t>eport, at</w:t>
      </w:r>
      <w:r w:rsidRPr="0068133F">
        <w:rPr>
          <w:rFonts w:cs="Times New Roman"/>
          <w:sz w:val="18"/>
          <w:szCs w:val="18"/>
        </w:rPr>
        <w:t xml:space="preserve"> </w:t>
      </w:r>
      <w:r w:rsidR="004131CB" w:rsidRPr="0068133F">
        <w:rPr>
          <w:rFonts w:cs="Times New Roman"/>
          <w:sz w:val="18"/>
          <w:szCs w:val="18"/>
        </w:rPr>
        <w:t xml:space="preserve">26-29; Skadden letter, at </w:t>
      </w:r>
      <w:r w:rsidR="00746352" w:rsidRPr="0068133F">
        <w:rPr>
          <w:rFonts w:cs="Times New Roman"/>
          <w:sz w:val="18"/>
          <w:szCs w:val="18"/>
        </w:rPr>
        <w:t xml:space="preserve">17-19. </w:t>
      </w:r>
    </w:p>
  </w:footnote>
  <w:footnote w:id="197">
    <w:p w14:paraId="29BADAA4" w14:textId="102E7EDF" w:rsidR="004C4C0A" w:rsidRPr="0077225D" w:rsidRDefault="004C4C0A" w:rsidP="00E15AEF">
      <w:pPr>
        <w:pStyle w:val="FootnoteText"/>
        <w:spacing w:after="120"/>
        <w:jc w:val="both"/>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065122">
        <w:rPr>
          <w:rFonts w:cs="Times New Roman"/>
          <w:sz w:val="18"/>
          <w:szCs w:val="18"/>
        </w:rPr>
        <w:t xml:space="preserve">Consideration should also be given to whether, and to what extent, a domestic acquiring corporation in an inbound stock acquisition </w:t>
      </w:r>
      <w:r w:rsidR="009B6705" w:rsidRPr="00A76332">
        <w:rPr>
          <w:rFonts w:cs="Times New Roman"/>
          <w:sz w:val="18"/>
          <w:szCs w:val="18"/>
        </w:rPr>
        <w:t>the 12</w:t>
      </w:r>
      <w:r w:rsidR="009B6705" w:rsidRPr="0077225D">
        <w:rPr>
          <w:rFonts w:cs="Times New Roman"/>
          <w:sz w:val="18"/>
          <w:szCs w:val="18"/>
        </w:rPr>
        <w:t xml:space="preserve">48 E&amp;P attributable to the small shareholders </w:t>
      </w:r>
      <w:r w:rsidR="003F70EC" w:rsidRPr="0077225D">
        <w:rPr>
          <w:rFonts w:cs="Times New Roman"/>
          <w:sz w:val="18"/>
          <w:szCs w:val="18"/>
        </w:rPr>
        <w:t xml:space="preserve">under Reg. 1.1248-8 for purposes of computing the domestic acquiring corporation’s 1248 amount with respect to the foreign acquired corporation. </w:t>
      </w:r>
      <w:r w:rsidR="003F70EC" w:rsidRPr="0077225D">
        <w:rPr>
          <w:rFonts w:cs="Times New Roman"/>
          <w:i/>
          <w:sz w:val="18"/>
          <w:szCs w:val="18"/>
        </w:rPr>
        <w:t xml:space="preserve">See </w:t>
      </w:r>
      <w:r w:rsidR="00702E92" w:rsidRPr="0077225D">
        <w:rPr>
          <w:rFonts w:cs="Times New Roman"/>
          <w:sz w:val="18"/>
          <w:szCs w:val="18"/>
        </w:rPr>
        <w:t xml:space="preserve">2022 </w:t>
      </w:r>
      <w:r w:rsidR="003F70EC" w:rsidRPr="0077225D">
        <w:rPr>
          <w:rFonts w:cs="Times New Roman"/>
          <w:sz w:val="18"/>
          <w:szCs w:val="18"/>
        </w:rPr>
        <w:t>NYSBA repor</w:t>
      </w:r>
      <w:r w:rsidR="00702E92" w:rsidRPr="0077225D">
        <w:rPr>
          <w:rFonts w:cs="Times New Roman"/>
          <w:sz w:val="18"/>
          <w:szCs w:val="18"/>
        </w:rPr>
        <w:t>t, at 18, note 65.</w:t>
      </w:r>
    </w:p>
  </w:footnote>
  <w:footnote w:id="198">
    <w:p w14:paraId="1137CE42" w14:textId="3667BE78" w:rsidR="002C3F48" w:rsidRPr="0077225D" w:rsidRDefault="002C3F48"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247E14">
        <w:rPr>
          <w:rFonts w:cs="Times New Roman"/>
          <w:i/>
          <w:iCs/>
          <w:sz w:val="18"/>
          <w:szCs w:val="18"/>
        </w:rPr>
        <w:t xml:space="preserve">See </w:t>
      </w:r>
      <w:r w:rsidR="00300569">
        <w:rPr>
          <w:rFonts w:cs="Times New Roman"/>
          <w:sz w:val="18"/>
          <w:szCs w:val="18"/>
        </w:rPr>
        <w:t>Reg. §1.367(d)-2</w:t>
      </w:r>
      <w:r w:rsidR="00862D30">
        <w:rPr>
          <w:rFonts w:cs="Times New Roman"/>
          <w:sz w:val="18"/>
          <w:szCs w:val="18"/>
        </w:rPr>
        <w:t>(d</w:t>
      </w:r>
      <w:r w:rsidR="00862D30" w:rsidRPr="004744EA">
        <w:rPr>
          <w:rFonts w:cs="Times New Roman"/>
          <w:sz w:val="18"/>
          <w:szCs w:val="18"/>
        </w:rPr>
        <w:t>)(2)(ii)</w:t>
      </w:r>
      <w:r w:rsidR="00862D30" w:rsidRPr="00A76332">
        <w:rPr>
          <w:rFonts w:cs="Times New Roman"/>
          <w:sz w:val="18"/>
          <w:szCs w:val="18"/>
        </w:rPr>
        <w:t xml:space="preserve">, </w:t>
      </w:r>
      <w:r w:rsidR="00862D30" w:rsidRPr="00A76332">
        <w:rPr>
          <w:rFonts w:cs="Times New Roman"/>
          <w:i/>
          <w:sz w:val="18"/>
          <w:szCs w:val="18"/>
        </w:rPr>
        <w:t xml:space="preserve">cross-referencing </w:t>
      </w:r>
      <w:r w:rsidR="00862D30" w:rsidRPr="00A76332">
        <w:rPr>
          <w:rFonts w:cs="Times New Roman"/>
          <w:sz w:val="18"/>
          <w:szCs w:val="18"/>
        </w:rPr>
        <w:t>Code Sec. 1248(</w:t>
      </w:r>
      <w:r w:rsidR="00862D30" w:rsidRPr="0077225D">
        <w:rPr>
          <w:rFonts w:cs="Times New Roman"/>
          <w:sz w:val="18"/>
          <w:szCs w:val="18"/>
        </w:rPr>
        <w:t>d)(4)</w:t>
      </w:r>
      <w:r w:rsidR="00C902D2" w:rsidRPr="0077225D">
        <w:rPr>
          <w:rFonts w:cs="Times New Roman"/>
          <w:sz w:val="18"/>
          <w:szCs w:val="18"/>
        </w:rPr>
        <w:t>.</w:t>
      </w:r>
    </w:p>
  </w:footnote>
  <w:footnote w:id="199">
    <w:p w14:paraId="6095D00C" w14:textId="201458BF" w:rsidR="00B71743" w:rsidRPr="0077225D" w:rsidRDefault="00B71743"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C902D2">
        <w:rPr>
          <w:rFonts w:cs="Times New Roman"/>
          <w:i/>
          <w:iCs/>
          <w:sz w:val="18"/>
          <w:szCs w:val="18"/>
        </w:rPr>
        <w:t xml:space="preserve">See </w:t>
      </w:r>
      <w:r w:rsidR="00A70F81" w:rsidRPr="0068133F">
        <w:rPr>
          <w:rFonts w:cs="Times New Roman"/>
          <w:sz w:val="18"/>
          <w:szCs w:val="18"/>
        </w:rPr>
        <w:t>Daub</w:t>
      </w:r>
      <w:r w:rsidR="00A70F81" w:rsidRPr="00C902D2">
        <w:rPr>
          <w:rFonts w:cs="Times New Roman"/>
          <w:sz w:val="18"/>
          <w:szCs w:val="18"/>
        </w:rPr>
        <w:t>, Peter M.</w:t>
      </w:r>
      <w:r w:rsidR="00702BC6" w:rsidRPr="00C902D2">
        <w:rPr>
          <w:rFonts w:cs="Times New Roman"/>
          <w:sz w:val="18"/>
          <w:szCs w:val="18"/>
        </w:rPr>
        <w:t xml:space="preserve">, </w:t>
      </w:r>
      <w:r w:rsidR="00AB2038" w:rsidRPr="00C902D2">
        <w:rPr>
          <w:rFonts w:cs="Times New Roman"/>
          <w:i/>
          <w:sz w:val="18"/>
          <w:szCs w:val="18"/>
        </w:rPr>
        <w:t>Section 367 Adrif</w:t>
      </w:r>
      <w:r w:rsidR="00AB2038" w:rsidRPr="004744EA">
        <w:rPr>
          <w:rFonts w:cs="Times New Roman"/>
          <w:i/>
          <w:sz w:val="18"/>
          <w:szCs w:val="18"/>
        </w:rPr>
        <w:t>t: Old Statute, New Applications</w:t>
      </w:r>
      <w:r w:rsidR="00E22FCA" w:rsidRPr="00A76332">
        <w:rPr>
          <w:rFonts w:cs="Times New Roman"/>
          <w:sz w:val="18"/>
          <w:szCs w:val="18"/>
        </w:rPr>
        <w:t>,</w:t>
      </w:r>
      <w:r w:rsidR="000447E1" w:rsidRPr="0077225D">
        <w:rPr>
          <w:rFonts w:cs="Times New Roman"/>
          <w:sz w:val="18"/>
          <w:szCs w:val="18"/>
        </w:rPr>
        <w:t xml:space="preserve"> </w:t>
      </w:r>
      <w:r w:rsidR="000447E1" w:rsidRPr="0077225D">
        <w:rPr>
          <w:rFonts w:cs="Times New Roman"/>
          <w:i/>
          <w:sz w:val="18"/>
          <w:szCs w:val="18"/>
        </w:rPr>
        <w:t>reprinted from</w:t>
      </w:r>
      <w:r w:rsidR="00E22FCA" w:rsidRPr="0077225D">
        <w:rPr>
          <w:rFonts w:cs="Times New Roman"/>
          <w:sz w:val="18"/>
          <w:szCs w:val="18"/>
        </w:rPr>
        <w:t xml:space="preserve"> </w:t>
      </w:r>
      <w:r w:rsidR="007A3D11" w:rsidRPr="0077225D">
        <w:rPr>
          <w:rFonts w:cs="Times New Roman"/>
          <w:sz w:val="18"/>
          <w:szCs w:val="18"/>
        </w:rPr>
        <w:t xml:space="preserve">151 Tax Notes </w:t>
      </w:r>
      <w:r w:rsidR="006053CC" w:rsidRPr="0077225D">
        <w:rPr>
          <w:rFonts w:cs="Times New Roman"/>
          <w:sz w:val="18"/>
          <w:szCs w:val="18"/>
        </w:rPr>
        <w:t>1207</w:t>
      </w:r>
      <w:r w:rsidR="00B802F9" w:rsidRPr="0077225D">
        <w:rPr>
          <w:rFonts w:cs="Times New Roman"/>
          <w:sz w:val="18"/>
          <w:szCs w:val="18"/>
        </w:rPr>
        <w:t xml:space="preserve">, </w:t>
      </w:r>
      <w:r w:rsidR="004675EF" w:rsidRPr="0077225D">
        <w:rPr>
          <w:rFonts w:cs="Times New Roman"/>
          <w:sz w:val="18"/>
          <w:szCs w:val="18"/>
        </w:rPr>
        <w:t>1219 (May 30, 2016)</w:t>
      </w:r>
      <w:r w:rsidR="00862D30" w:rsidRPr="0077225D">
        <w:rPr>
          <w:rFonts w:cs="Times New Roman"/>
          <w:sz w:val="18"/>
          <w:szCs w:val="18"/>
        </w:rPr>
        <w:t xml:space="preserve"> (</w:t>
      </w:r>
      <w:r w:rsidR="005E2F2F" w:rsidRPr="0077225D">
        <w:rPr>
          <w:rFonts w:cs="Times New Roman"/>
          <w:sz w:val="18"/>
          <w:szCs w:val="18"/>
        </w:rPr>
        <w:t>“If the tax attributes are carried over to the corporation, should not the corporation include the earnings that gave rise to them?</w:t>
      </w:r>
      <w:r w:rsidR="00862D30" w:rsidRPr="0077225D">
        <w:rPr>
          <w:rFonts w:cs="Times New Roman"/>
          <w:sz w:val="18"/>
          <w:szCs w:val="18"/>
        </w:rPr>
        <w:t>”)</w:t>
      </w:r>
    </w:p>
  </w:footnote>
  <w:footnote w:id="200">
    <w:p w14:paraId="0097CC60" w14:textId="72515B44" w:rsidR="008F7C9C" w:rsidRPr="0068133F" w:rsidRDefault="008F7C9C"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B24DB8" w:rsidRPr="0068133F">
        <w:rPr>
          <w:rFonts w:cs="Times New Roman"/>
          <w:sz w:val="18"/>
          <w:szCs w:val="18"/>
        </w:rPr>
        <w:t>65 Fed. Reg., at 3593 (Jan. 24, 2000).</w:t>
      </w:r>
    </w:p>
  </w:footnote>
  <w:footnote w:id="201">
    <w:p w14:paraId="5A105CEF" w14:textId="152C04DD" w:rsidR="004E1084" w:rsidRPr="00A76332" w:rsidRDefault="004E1084"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CF18FF" w:rsidRPr="0068133F">
        <w:rPr>
          <w:rFonts w:cs="Times New Roman"/>
          <w:sz w:val="18"/>
          <w:szCs w:val="18"/>
        </w:rPr>
        <w:t>65 Fed. Reg., at</w:t>
      </w:r>
      <w:r w:rsidRPr="0068133F">
        <w:rPr>
          <w:rFonts w:cs="Times New Roman"/>
          <w:sz w:val="18"/>
          <w:szCs w:val="18"/>
        </w:rPr>
        <w:t xml:space="preserve"> </w:t>
      </w:r>
      <w:r w:rsidR="00E712D2" w:rsidRPr="0068133F">
        <w:rPr>
          <w:rFonts w:cs="Times New Roman"/>
          <w:sz w:val="18"/>
          <w:szCs w:val="18"/>
        </w:rPr>
        <w:t>3592-93</w:t>
      </w:r>
      <w:r w:rsidR="001F02AF" w:rsidRPr="004744EA">
        <w:rPr>
          <w:rFonts w:cs="Times New Roman"/>
          <w:sz w:val="18"/>
          <w:szCs w:val="18"/>
        </w:rPr>
        <w:t xml:space="preserve"> (Jan. 24, 2000)</w:t>
      </w:r>
      <w:r w:rsidR="00E712D2" w:rsidRPr="00A76332">
        <w:rPr>
          <w:rFonts w:cs="Times New Roman"/>
          <w:sz w:val="18"/>
          <w:szCs w:val="18"/>
        </w:rPr>
        <w:t xml:space="preserve">. </w:t>
      </w:r>
    </w:p>
  </w:footnote>
  <w:footnote w:id="202">
    <w:p w14:paraId="377D5AB9" w14:textId="394D9499" w:rsidR="00EB62A7" w:rsidRPr="0077225D" w:rsidRDefault="00EB62A7" w:rsidP="00E15AEF">
      <w:pPr>
        <w:pStyle w:val="FootnoteText"/>
        <w:spacing w:after="120"/>
        <w:rPr>
          <w:rFonts w:cs="Times New Roman"/>
          <w:sz w:val="18"/>
          <w:szCs w:val="18"/>
        </w:rPr>
      </w:pPr>
      <w:r w:rsidRPr="00BC1AD2">
        <w:rPr>
          <w:rStyle w:val="FootnoteReference"/>
          <w:rFonts w:cs="Times New Roman"/>
          <w:sz w:val="18"/>
          <w:szCs w:val="18"/>
        </w:rPr>
        <w:footnoteRef/>
      </w:r>
      <w:r w:rsidRPr="00BC1AD2">
        <w:rPr>
          <w:rFonts w:cs="Times New Roman"/>
          <w:sz w:val="18"/>
          <w:szCs w:val="18"/>
        </w:rPr>
        <w:t xml:space="preserve"> </w:t>
      </w:r>
      <w:r w:rsidR="00490D0B" w:rsidRPr="00BC1AD2">
        <w:rPr>
          <w:rFonts w:cs="Times New Roman"/>
          <w:sz w:val="18"/>
          <w:szCs w:val="18"/>
        </w:rPr>
        <w:t xml:space="preserve">A similar </w:t>
      </w:r>
      <w:r w:rsidR="00A37614" w:rsidRPr="0068133F">
        <w:rPr>
          <w:rFonts w:cs="Times New Roman"/>
          <w:sz w:val="18"/>
          <w:szCs w:val="18"/>
        </w:rPr>
        <w:t xml:space="preserve">rebuttable presumption </w:t>
      </w:r>
      <w:r w:rsidR="00797D7C" w:rsidRPr="0068133F">
        <w:rPr>
          <w:rFonts w:cs="Times New Roman"/>
          <w:sz w:val="18"/>
          <w:szCs w:val="18"/>
        </w:rPr>
        <w:t>can be found in the</w:t>
      </w:r>
      <w:r w:rsidR="00F92F93" w:rsidRPr="00A76332">
        <w:rPr>
          <w:rFonts w:cs="Times New Roman"/>
          <w:sz w:val="18"/>
          <w:szCs w:val="18"/>
        </w:rPr>
        <w:t xml:space="preserve"> </w:t>
      </w:r>
      <w:r w:rsidR="001F3036" w:rsidRPr="0077225D">
        <w:rPr>
          <w:rFonts w:cs="Times New Roman"/>
          <w:sz w:val="18"/>
          <w:szCs w:val="18"/>
        </w:rPr>
        <w:t xml:space="preserve">Code Sec. 367(a) </w:t>
      </w:r>
      <w:r w:rsidR="00F92F93" w:rsidRPr="0077225D">
        <w:rPr>
          <w:rFonts w:cs="Times New Roman"/>
          <w:sz w:val="18"/>
          <w:szCs w:val="18"/>
        </w:rPr>
        <w:t xml:space="preserve">rules for outbound transfers of stock </w:t>
      </w:r>
      <w:r w:rsidR="00D41929" w:rsidRPr="0077225D">
        <w:rPr>
          <w:rFonts w:cs="Times New Roman"/>
          <w:sz w:val="18"/>
          <w:szCs w:val="18"/>
        </w:rPr>
        <w:t xml:space="preserve">of a domestic corporation, </w:t>
      </w:r>
      <w:r w:rsidR="00797D7C" w:rsidRPr="0077225D">
        <w:rPr>
          <w:rFonts w:cs="Times New Roman"/>
          <w:sz w:val="18"/>
          <w:szCs w:val="18"/>
        </w:rPr>
        <w:t xml:space="preserve">under which </w:t>
      </w:r>
      <w:r w:rsidR="005D1BE5" w:rsidRPr="0077225D">
        <w:rPr>
          <w:rFonts w:cs="Times New Roman"/>
          <w:sz w:val="18"/>
          <w:szCs w:val="18"/>
        </w:rPr>
        <w:t xml:space="preserve">persons who transfer stock of the domestic target in exchange for stock of the transferee foreign corporation are presumed to be U.S. persons. </w:t>
      </w:r>
      <w:r w:rsidR="00797D7C" w:rsidRPr="0077225D">
        <w:rPr>
          <w:rFonts w:cs="Times New Roman"/>
          <w:i/>
          <w:sz w:val="18"/>
          <w:szCs w:val="18"/>
        </w:rPr>
        <w:t xml:space="preserve">See </w:t>
      </w:r>
      <w:r w:rsidR="00797D7C" w:rsidRPr="0077225D">
        <w:rPr>
          <w:rFonts w:cs="Times New Roman"/>
          <w:sz w:val="18"/>
          <w:szCs w:val="18"/>
        </w:rPr>
        <w:t>Reg §1.367(a)-3(c)(2).</w:t>
      </w:r>
    </w:p>
  </w:footnote>
  <w:footnote w:id="203">
    <w:p w14:paraId="75BBF57D" w14:textId="4D0E73CD" w:rsidR="00843ADF" w:rsidRPr="0077225D" w:rsidRDefault="00843AD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Consideration should be given to</w:t>
      </w:r>
      <w:r w:rsidRPr="00A76332">
        <w:rPr>
          <w:rFonts w:cs="Times New Roman"/>
          <w:sz w:val="18"/>
          <w:szCs w:val="18"/>
        </w:rPr>
        <w:t xml:space="preserve"> whether </w:t>
      </w:r>
      <w:r w:rsidR="00BC6C70" w:rsidRPr="0077225D">
        <w:rPr>
          <w:rFonts w:cs="Times New Roman"/>
          <w:sz w:val="18"/>
          <w:szCs w:val="18"/>
        </w:rPr>
        <w:t xml:space="preserve">a </w:t>
      </w:r>
      <w:r w:rsidRPr="0077225D">
        <w:rPr>
          <w:rFonts w:cs="Times New Roman"/>
          <w:sz w:val="18"/>
          <w:szCs w:val="18"/>
        </w:rPr>
        <w:t xml:space="preserve">245A shareholder should be permitted to satisfy the 245A holding period requirement taking into account </w:t>
      </w:r>
      <w:r w:rsidR="00F455EB" w:rsidRPr="0077225D">
        <w:rPr>
          <w:rFonts w:cs="Times New Roman"/>
          <w:sz w:val="18"/>
          <w:szCs w:val="18"/>
        </w:rPr>
        <w:t>the period that they continue to hold</w:t>
      </w:r>
      <w:r w:rsidRPr="0077225D">
        <w:rPr>
          <w:rFonts w:cs="Times New Roman"/>
          <w:sz w:val="18"/>
          <w:szCs w:val="18"/>
        </w:rPr>
        <w:t xml:space="preserve"> the stock of the domestic acquiring corporation received in exchange for the stock of the foreign acquired corporation, in addition </w:t>
      </w:r>
      <w:r w:rsidR="00BC6C70" w:rsidRPr="0077225D">
        <w:rPr>
          <w:rFonts w:cs="Times New Roman"/>
          <w:sz w:val="18"/>
          <w:szCs w:val="18"/>
        </w:rPr>
        <w:t xml:space="preserve">to the period during which the shareholder </w:t>
      </w:r>
      <w:r w:rsidR="00B60B4A" w:rsidRPr="0077225D">
        <w:rPr>
          <w:rFonts w:cs="Times New Roman"/>
          <w:sz w:val="18"/>
          <w:szCs w:val="18"/>
        </w:rPr>
        <w:t xml:space="preserve">held the stock of the foreign acquired corporation. In general, the 245A holding period requirement can be satisfied </w:t>
      </w:r>
      <w:r w:rsidR="00B60B4A" w:rsidRPr="0077225D">
        <w:rPr>
          <w:rFonts w:cs="Times New Roman"/>
          <w:i/>
          <w:sz w:val="18"/>
          <w:szCs w:val="18"/>
        </w:rPr>
        <w:t>after</w:t>
      </w:r>
      <w:r w:rsidR="00B60B4A" w:rsidRPr="0077225D">
        <w:rPr>
          <w:rFonts w:cs="Times New Roman"/>
          <w:sz w:val="18"/>
          <w:szCs w:val="18"/>
        </w:rPr>
        <w:t xml:space="preserve"> a dividend or deemed dividend; there does not appear to be a policy reason for preventing </w:t>
      </w:r>
      <w:r w:rsidR="00F455EB" w:rsidRPr="0077225D">
        <w:rPr>
          <w:rFonts w:cs="Times New Roman"/>
          <w:sz w:val="18"/>
          <w:szCs w:val="18"/>
        </w:rPr>
        <w:t>the 245A</w:t>
      </w:r>
      <w:r w:rsidR="00B60B4A" w:rsidRPr="0077225D">
        <w:rPr>
          <w:rFonts w:cs="Times New Roman"/>
          <w:sz w:val="18"/>
          <w:szCs w:val="18"/>
        </w:rPr>
        <w:t xml:space="preserve"> holding period requirement to be satisfied</w:t>
      </w:r>
      <w:r w:rsidR="00F455EB" w:rsidRPr="0077225D">
        <w:rPr>
          <w:rFonts w:cs="Times New Roman"/>
          <w:sz w:val="18"/>
          <w:szCs w:val="18"/>
        </w:rPr>
        <w:t xml:space="preserve"> taking into account</w:t>
      </w:r>
      <w:r w:rsidR="00C918AC" w:rsidRPr="0077225D">
        <w:rPr>
          <w:rFonts w:cs="Times New Roman"/>
          <w:sz w:val="18"/>
          <w:szCs w:val="18"/>
        </w:rPr>
        <w:t xml:space="preserve"> the holding period of </w:t>
      </w:r>
      <w:r w:rsidR="00F455EB" w:rsidRPr="0077225D">
        <w:rPr>
          <w:rFonts w:cs="Times New Roman"/>
          <w:sz w:val="18"/>
          <w:szCs w:val="18"/>
        </w:rPr>
        <w:t xml:space="preserve">stock </w:t>
      </w:r>
      <w:r w:rsidR="00C50177" w:rsidRPr="0077225D">
        <w:rPr>
          <w:rFonts w:cs="Times New Roman"/>
          <w:sz w:val="18"/>
          <w:szCs w:val="18"/>
        </w:rPr>
        <w:t xml:space="preserve">which itself takes into account the holding period of </w:t>
      </w:r>
      <w:r w:rsidR="00425566" w:rsidRPr="0077225D">
        <w:rPr>
          <w:rFonts w:cs="Times New Roman"/>
          <w:sz w:val="18"/>
          <w:szCs w:val="18"/>
        </w:rPr>
        <w:t>the stock of the foreign acquired corporation under Code Sec. 1223(1)</w:t>
      </w:r>
      <w:r w:rsidR="00F455EB" w:rsidRPr="0077225D">
        <w:rPr>
          <w:rFonts w:cs="Times New Roman"/>
          <w:sz w:val="18"/>
          <w:szCs w:val="18"/>
        </w:rPr>
        <w:t>.</w:t>
      </w:r>
    </w:p>
  </w:footnote>
  <w:footnote w:id="204">
    <w:p w14:paraId="18F75C0A" w14:textId="218A8AC1" w:rsidR="00DD3510" w:rsidRPr="0077225D" w:rsidRDefault="00DD351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However, see </w:t>
      </w:r>
      <w:r w:rsidR="00162E00" w:rsidRPr="0068133F">
        <w:rPr>
          <w:rFonts w:cs="Times New Roman"/>
          <w:sz w:val="18"/>
          <w:szCs w:val="18"/>
        </w:rPr>
        <w:t>discussion above in Part</w:t>
      </w:r>
      <w:r w:rsidR="00162E00" w:rsidRPr="00A76332">
        <w:rPr>
          <w:rFonts w:cs="Times New Roman"/>
          <w:sz w:val="18"/>
          <w:szCs w:val="18"/>
        </w:rPr>
        <w:t xml:space="preserve"> IV</w:t>
      </w:r>
      <w:r w:rsidR="00162E00" w:rsidRPr="0077225D">
        <w:rPr>
          <w:rFonts w:cs="Times New Roman"/>
          <w:sz w:val="18"/>
          <w:szCs w:val="18"/>
        </w:rPr>
        <w:t xml:space="preserve">.A of this report regarding </w:t>
      </w:r>
      <w:r w:rsidR="00880BEC" w:rsidRPr="0077225D">
        <w:rPr>
          <w:rFonts w:cs="Times New Roman"/>
          <w:sz w:val="18"/>
          <w:szCs w:val="18"/>
        </w:rPr>
        <w:t xml:space="preserve">why this might not be very distortive, if the </w:t>
      </w:r>
      <w:r w:rsidR="00EE4CCA" w:rsidRPr="0077225D">
        <w:rPr>
          <w:rFonts w:cs="Times New Roman"/>
          <w:sz w:val="18"/>
          <w:szCs w:val="18"/>
        </w:rPr>
        <w:t>dividend would have been QDI.</w:t>
      </w:r>
    </w:p>
  </w:footnote>
  <w:footnote w:id="205">
    <w:p w14:paraId="466D63D6" w14:textId="58449124" w:rsidR="00EA7E2F" w:rsidRPr="0077225D" w:rsidRDefault="00EA7E2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The exc</w:t>
      </w:r>
      <w:r w:rsidRPr="00A76332">
        <w:rPr>
          <w:rFonts w:cs="Times New Roman"/>
          <w:sz w:val="18"/>
          <w:szCs w:val="18"/>
        </w:rPr>
        <w:t>ha</w:t>
      </w:r>
      <w:r w:rsidRPr="0077225D">
        <w:rPr>
          <w:rFonts w:cs="Times New Roman"/>
          <w:sz w:val="18"/>
          <w:szCs w:val="18"/>
        </w:rPr>
        <w:t xml:space="preserve">nging shareholder could, however, potentially receive a 50 percent or 65 percent DRD under </w:t>
      </w:r>
      <w:r w:rsidR="00BD3058" w:rsidRPr="0077225D">
        <w:rPr>
          <w:rFonts w:cs="Times New Roman"/>
          <w:sz w:val="18"/>
          <w:szCs w:val="18"/>
        </w:rPr>
        <w:t>Code Sec. 243, depending on its percentage ownership of the domestic acquiring corporation.</w:t>
      </w:r>
      <w:r w:rsidRPr="0077225D">
        <w:rPr>
          <w:rFonts w:cs="Times New Roman"/>
          <w:sz w:val="18"/>
          <w:szCs w:val="18"/>
        </w:rPr>
        <w:t xml:space="preserve"> </w:t>
      </w:r>
      <w:r w:rsidR="006714FB" w:rsidRPr="0077225D">
        <w:rPr>
          <w:rFonts w:cs="Times New Roman"/>
          <w:i/>
          <w:sz w:val="18"/>
          <w:szCs w:val="18"/>
        </w:rPr>
        <w:t xml:space="preserve">See </w:t>
      </w:r>
      <w:r w:rsidR="006714FB" w:rsidRPr="0077225D">
        <w:rPr>
          <w:rFonts w:cs="Times New Roman"/>
          <w:sz w:val="18"/>
          <w:szCs w:val="18"/>
        </w:rPr>
        <w:t>Code Sec. 243</w:t>
      </w:r>
      <w:r w:rsidR="001D0A00" w:rsidRPr="0077225D">
        <w:rPr>
          <w:rFonts w:cs="Times New Roman"/>
          <w:sz w:val="18"/>
          <w:szCs w:val="18"/>
        </w:rPr>
        <w:t xml:space="preserve">(a)(1) </w:t>
      </w:r>
      <w:r w:rsidR="005E68EE" w:rsidRPr="0077225D">
        <w:rPr>
          <w:rFonts w:cs="Times New Roman"/>
          <w:sz w:val="18"/>
          <w:szCs w:val="18"/>
        </w:rPr>
        <w:t>and (c).</w:t>
      </w:r>
    </w:p>
  </w:footnote>
  <w:footnote w:id="206">
    <w:p w14:paraId="4E301433" w14:textId="660E594B" w:rsidR="00FC23BE" w:rsidRPr="0077225D" w:rsidRDefault="00FC23BE"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F661D1">
        <w:rPr>
          <w:rFonts w:cs="Times New Roman"/>
          <w:sz w:val="18"/>
          <w:szCs w:val="18"/>
        </w:rPr>
        <w:t xml:space="preserve">Reg. </w:t>
      </w:r>
      <w:r w:rsidR="00F661D1" w:rsidRPr="00F661D1">
        <w:rPr>
          <w:rFonts w:cs="Times New Roman"/>
          <w:sz w:val="18"/>
          <w:szCs w:val="18"/>
        </w:rPr>
        <w:t>§7.367(b)-7T(c)(1)(i)</w:t>
      </w:r>
      <w:r w:rsidR="00F661D1">
        <w:rPr>
          <w:rFonts w:cs="Times New Roman"/>
          <w:sz w:val="18"/>
          <w:szCs w:val="18"/>
        </w:rPr>
        <w:t xml:space="preserve"> (1977).</w:t>
      </w:r>
    </w:p>
  </w:footnote>
  <w:footnote w:id="207">
    <w:p w14:paraId="4ADAB123" w14:textId="5424D11D" w:rsidR="00B70856" w:rsidRPr="0068133F" w:rsidRDefault="00B7085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Pr>
          <w:rFonts w:cs="Times New Roman"/>
          <w:sz w:val="18"/>
          <w:szCs w:val="18"/>
        </w:rPr>
        <w:t>Reg. §1.1248-8</w:t>
      </w:r>
      <w:r w:rsidR="00D65699">
        <w:rPr>
          <w:rFonts w:cs="Times New Roman"/>
          <w:sz w:val="18"/>
          <w:szCs w:val="18"/>
        </w:rPr>
        <w:t>(b)(3)(ii).</w:t>
      </w:r>
    </w:p>
  </w:footnote>
  <w:footnote w:id="208">
    <w:p w14:paraId="7872C06B" w14:textId="10237E40" w:rsidR="00BC0480" w:rsidRPr="00D7774C" w:rsidRDefault="00BC0480"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D7774C">
        <w:rPr>
          <w:rFonts w:cs="Times New Roman"/>
          <w:i/>
          <w:iCs/>
          <w:sz w:val="18"/>
          <w:szCs w:val="18"/>
        </w:rPr>
        <w:t xml:space="preserve">See </w:t>
      </w:r>
      <w:r w:rsidR="00D7774C">
        <w:rPr>
          <w:rFonts w:cs="Times New Roman"/>
          <w:sz w:val="18"/>
          <w:szCs w:val="18"/>
        </w:rPr>
        <w:t>Reg. §1.367(b)-2(</w:t>
      </w:r>
      <w:r w:rsidR="00D13A6B">
        <w:rPr>
          <w:rFonts w:cs="Times New Roman"/>
          <w:sz w:val="18"/>
          <w:szCs w:val="18"/>
        </w:rPr>
        <w:t>e)(3)(ii).</w:t>
      </w:r>
    </w:p>
  </w:footnote>
  <w:footnote w:id="209">
    <w:p w14:paraId="037DA17A" w14:textId="3C0E5DCF" w:rsidR="00C362A6" w:rsidRPr="0068133F" w:rsidRDefault="00C362A6"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Code Sec. 367(b)(1).</w:t>
      </w:r>
    </w:p>
  </w:footnote>
  <w:footnote w:id="210">
    <w:p w14:paraId="5A43ABA6" w14:textId="4C5C160F" w:rsidR="000E4D9F" w:rsidRPr="0077225D" w:rsidRDefault="000E4D9F" w:rsidP="00E15AEF">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w:t>
      </w:r>
      <w:r w:rsidR="00354146" w:rsidRPr="0068133F">
        <w:rPr>
          <w:rFonts w:cs="Times New Roman"/>
          <w:i/>
          <w:iCs/>
          <w:sz w:val="18"/>
          <w:szCs w:val="18"/>
        </w:rPr>
        <w:t xml:space="preserve">See </w:t>
      </w:r>
      <w:r w:rsidR="00354146" w:rsidRPr="0077225D">
        <w:rPr>
          <w:rFonts w:cs="Times New Roman"/>
          <w:sz w:val="18"/>
          <w:szCs w:val="18"/>
        </w:rPr>
        <w:t>Code Sec. 368(a)(1)(B) (a B reorganization is defined “the acquisition by one corporation, in exchange solely for all or a part of its voting stock …. of stock of another corporation if, immediately after the acquisition, the acquiring corporation has control of such other corporation (whether or not such acquiring corporation had control immediately before the acquisition).</w:t>
      </w:r>
    </w:p>
  </w:footnote>
  <w:footnote w:id="211">
    <w:p w14:paraId="316E0ECB" w14:textId="77777777" w:rsidR="00AE2F3B" w:rsidRPr="0068133F" w:rsidRDefault="00AE2F3B" w:rsidP="00AE2F3B">
      <w:pPr>
        <w:pStyle w:val="FootnoteText"/>
        <w:spacing w:after="120"/>
        <w:rPr>
          <w:rFonts w:cs="Times New Roman"/>
          <w:sz w:val="18"/>
          <w:szCs w:val="18"/>
        </w:rPr>
      </w:pPr>
      <w:r w:rsidRPr="0068133F">
        <w:rPr>
          <w:rStyle w:val="FootnoteReference"/>
          <w:rFonts w:cs="Times New Roman"/>
          <w:sz w:val="18"/>
          <w:szCs w:val="18"/>
        </w:rPr>
        <w:footnoteRef/>
      </w:r>
      <w:r w:rsidRPr="0068133F">
        <w:rPr>
          <w:rFonts w:cs="Times New Roman"/>
          <w:sz w:val="18"/>
          <w:szCs w:val="18"/>
        </w:rPr>
        <w:t xml:space="preserve"> Reg. §1.245A(e)-1(d)(4)(iii)(A)(2).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AE8468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B20886C"/>
    <w:lvl w:ilvl="0">
      <w:start w:val="1"/>
      <w:numFmt w:val="decimal"/>
      <w:lvlText w:val="%1."/>
      <w:lvlJc w:val="left"/>
      <w:pPr>
        <w:tabs>
          <w:tab w:val="num" w:pos="720"/>
        </w:tabs>
        <w:ind w:left="720" w:hanging="360"/>
      </w:pPr>
    </w:lvl>
  </w:abstractNum>
  <w:abstractNum w:abstractNumId="2" w15:restartNumberingAfterBreak="0">
    <w:nsid w:val="02CB5A1E"/>
    <w:multiLevelType w:val="hybridMultilevel"/>
    <w:tmpl w:val="9AA66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E1769"/>
    <w:multiLevelType w:val="hybridMultilevel"/>
    <w:tmpl w:val="96945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710F49"/>
    <w:multiLevelType w:val="multilevel"/>
    <w:tmpl w:val="0B309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F13BD5"/>
    <w:multiLevelType w:val="singleLevel"/>
    <w:tmpl w:val="B45E08D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06AC1B45"/>
    <w:multiLevelType w:val="multilevel"/>
    <w:tmpl w:val="C1E02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8A4C61"/>
    <w:multiLevelType w:val="hybridMultilevel"/>
    <w:tmpl w:val="F7E6EBCE"/>
    <w:lvl w:ilvl="0" w:tplc="F35CC9F4">
      <w:start w:val="1"/>
      <w:numFmt w:val="bullet"/>
      <w:lvlText w:val="•"/>
      <w:lvlJc w:val="left"/>
      <w:pPr>
        <w:tabs>
          <w:tab w:val="num" w:pos="720"/>
        </w:tabs>
        <w:ind w:left="720" w:hanging="360"/>
      </w:pPr>
      <w:rPr>
        <w:rFonts w:ascii="Arial" w:hAnsi="Arial" w:hint="default"/>
      </w:rPr>
    </w:lvl>
    <w:lvl w:ilvl="1" w:tplc="38E6517A" w:tentative="1">
      <w:start w:val="1"/>
      <w:numFmt w:val="bullet"/>
      <w:lvlText w:val="•"/>
      <w:lvlJc w:val="left"/>
      <w:pPr>
        <w:tabs>
          <w:tab w:val="num" w:pos="1440"/>
        </w:tabs>
        <w:ind w:left="1440" w:hanging="360"/>
      </w:pPr>
      <w:rPr>
        <w:rFonts w:ascii="Arial" w:hAnsi="Arial" w:hint="default"/>
      </w:rPr>
    </w:lvl>
    <w:lvl w:ilvl="2" w:tplc="3C060636">
      <w:start w:val="1"/>
      <w:numFmt w:val="bullet"/>
      <w:lvlText w:val="•"/>
      <w:lvlJc w:val="left"/>
      <w:pPr>
        <w:tabs>
          <w:tab w:val="num" w:pos="2160"/>
        </w:tabs>
        <w:ind w:left="2160" w:hanging="360"/>
      </w:pPr>
      <w:rPr>
        <w:rFonts w:ascii="Arial" w:hAnsi="Arial" w:hint="default"/>
      </w:rPr>
    </w:lvl>
    <w:lvl w:ilvl="3" w:tplc="96408CC8" w:tentative="1">
      <w:start w:val="1"/>
      <w:numFmt w:val="bullet"/>
      <w:lvlText w:val="•"/>
      <w:lvlJc w:val="left"/>
      <w:pPr>
        <w:tabs>
          <w:tab w:val="num" w:pos="2880"/>
        </w:tabs>
        <w:ind w:left="2880" w:hanging="360"/>
      </w:pPr>
      <w:rPr>
        <w:rFonts w:ascii="Arial" w:hAnsi="Arial" w:hint="default"/>
      </w:rPr>
    </w:lvl>
    <w:lvl w:ilvl="4" w:tplc="50A2C9F0" w:tentative="1">
      <w:start w:val="1"/>
      <w:numFmt w:val="bullet"/>
      <w:lvlText w:val="•"/>
      <w:lvlJc w:val="left"/>
      <w:pPr>
        <w:tabs>
          <w:tab w:val="num" w:pos="3600"/>
        </w:tabs>
        <w:ind w:left="3600" w:hanging="360"/>
      </w:pPr>
      <w:rPr>
        <w:rFonts w:ascii="Arial" w:hAnsi="Arial" w:hint="default"/>
      </w:rPr>
    </w:lvl>
    <w:lvl w:ilvl="5" w:tplc="AA4005DC" w:tentative="1">
      <w:start w:val="1"/>
      <w:numFmt w:val="bullet"/>
      <w:lvlText w:val="•"/>
      <w:lvlJc w:val="left"/>
      <w:pPr>
        <w:tabs>
          <w:tab w:val="num" w:pos="4320"/>
        </w:tabs>
        <w:ind w:left="4320" w:hanging="360"/>
      </w:pPr>
      <w:rPr>
        <w:rFonts w:ascii="Arial" w:hAnsi="Arial" w:hint="default"/>
      </w:rPr>
    </w:lvl>
    <w:lvl w:ilvl="6" w:tplc="31F4AE24" w:tentative="1">
      <w:start w:val="1"/>
      <w:numFmt w:val="bullet"/>
      <w:lvlText w:val="•"/>
      <w:lvlJc w:val="left"/>
      <w:pPr>
        <w:tabs>
          <w:tab w:val="num" w:pos="5040"/>
        </w:tabs>
        <w:ind w:left="5040" w:hanging="360"/>
      </w:pPr>
      <w:rPr>
        <w:rFonts w:ascii="Arial" w:hAnsi="Arial" w:hint="default"/>
      </w:rPr>
    </w:lvl>
    <w:lvl w:ilvl="7" w:tplc="3B16123E" w:tentative="1">
      <w:start w:val="1"/>
      <w:numFmt w:val="bullet"/>
      <w:lvlText w:val="•"/>
      <w:lvlJc w:val="left"/>
      <w:pPr>
        <w:tabs>
          <w:tab w:val="num" w:pos="5760"/>
        </w:tabs>
        <w:ind w:left="5760" w:hanging="360"/>
      </w:pPr>
      <w:rPr>
        <w:rFonts w:ascii="Arial" w:hAnsi="Arial" w:hint="default"/>
      </w:rPr>
    </w:lvl>
    <w:lvl w:ilvl="8" w:tplc="460CBD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E66C0D"/>
    <w:multiLevelType w:val="multilevel"/>
    <w:tmpl w:val="1AC098CE"/>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045531B"/>
    <w:multiLevelType w:val="hybridMultilevel"/>
    <w:tmpl w:val="B34AB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5202A"/>
    <w:multiLevelType w:val="hybridMultilevel"/>
    <w:tmpl w:val="4F34D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84FC2662">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CB6234"/>
    <w:multiLevelType w:val="hybridMultilevel"/>
    <w:tmpl w:val="700C1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704947"/>
    <w:multiLevelType w:val="hybridMultilevel"/>
    <w:tmpl w:val="D36EBE3A"/>
    <w:lvl w:ilvl="0" w:tplc="78DC15C4">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D6E3C"/>
    <w:multiLevelType w:val="hybridMultilevel"/>
    <w:tmpl w:val="88C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E4B92"/>
    <w:multiLevelType w:val="hybridMultilevel"/>
    <w:tmpl w:val="D1C86350"/>
    <w:lvl w:ilvl="0" w:tplc="6A12B9F8">
      <w:start w:val="1"/>
      <w:numFmt w:val="bullet"/>
      <w:lvlText w:val="•"/>
      <w:lvlJc w:val="left"/>
      <w:pPr>
        <w:tabs>
          <w:tab w:val="num" w:pos="720"/>
        </w:tabs>
        <w:ind w:left="720" w:hanging="360"/>
      </w:pPr>
      <w:rPr>
        <w:rFonts w:ascii="Arial" w:hAnsi="Arial" w:hint="default"/>
      </w:rPr>
    </w:lvl>
    <w:lvl w:ilvl="1" w:tplc="E6A2598A" w:tentative="1">
      <w:start w:val="1"/>
      <w:numFmt w:val="bullet"/>
      <w:lvlText w:val="•"/>
      <w:lvlJc w:val="left"/>
      <w:pPr>
        <w:tabs>
          <w:tab w:val="num" w:pos="1440"/>
        </w:tabs>
        <w:ind w:left="1440" w:hanging="360"/>
      </w:pPr>
      <w:rPr>
        <w:rFonts w:ascii="Arial" w:hAnsi="Arial" w:hint="default"/>
      </w:rPr>
    </w:lvl>
    <w:lvl w:ilvl="2" w:tplc="6E88F728">
      <w:start w:val="1"/>
      <w:numFmt w:val="bullet"/>
      <w:lvlText w:val="•"/>
      <w:lvlJc w:val="left"/>
      <w:pPr>
        <w:tabs>
          <w:tab w:val="num" w:pos="2160"/>
        </w:tabs>
        <w:ind w:left="2160" w:hanging="360"/>
      </w:pPr>
      <w:rPr>
        <w:rFonts w:ascii="Arial" w:hAnsi="Arial" w:hint="default"/>
      </w:rPr>
    </w:lvl>
    <w:lvl w:ilvl="3" w:tplc="75967204" w:tentative="1">
      <w:start w:val="1"/>
      <w:numFmt w:val="bullet"/>
      <w:lvlText w:val="•"/>
      <w:lvlJc w:val="left"/>
      <w:pPr>
        <w:tabs>
          <w:tab w:val="num" w:pos="2880"/>
        </w:tabs>
        <w:ind w:left="2880" w:hanging="360"/>
      </w:pPr>
      <w:rPr>
        <w:rFonts w:ascii="Arial" w:hAnsi="Arial" w:hint="default"/>
      </w:rPr>
    </w:lvl>
    <w:lvl w:ilvl="4" w:tplc="994EE6F2" w:tentative="1">
      <w:start w:val="1"/>
      <w:numFmt w:val="bullet"/>
      <w:lvlText w:val="•"/>
      <w:lvlJc w:val="left"/>
      <w:pPr>
        <w:tabs>
          <w:tab w:val="num" w:pos="3600"/>
        </w:tabs>
        <w:ind w:left="3600" w:hanging="360"/>
      </w:pPr>
      <w:rPr>
        <w:rFonts w:ascii="Arial" w:hAnsi="Arial" w:hint="default"/>
      </w:rPr>
    </w:lvl>
    <w:lvl w:ilvl="5" w:tplc="7CAE93FA" w:tentative="1">
      <w:start w:val="1"/>
      <w:numFmt w:val="bullet"/>
      <w:lvlText w:val="•"/>
      <w:lvlJc w:val="left"/>
      <w:pPr>
        <w:tabs>
          <w:tab w:val="num" w:pos="4320"/>
        </w:tabs>
        <w:ind w:left="4320" w:hanging="360"/>
      </w:pPr>
      <w:rPr>
        <w:rFonts w:ascii="Arial" w:hAnsi="Arial" w:hint="default"/>
      </w:rPr>
    </w:lvl>
    <w:lvl w:ilvl="6" w:tplc="5088F75C" w:tentative="1">
      <w:start w:val="1"/>
      <w:numFmt w:val="bullet"/>
      <w:lvlText w:val="•"/>
      <w:lvlJc w:val="left"/>
      <w:pPr>
        <w:tabs>
          <w:tab w:val="num" w:pos="5040"/>
        </w:tabs>
        <w:ind w:left="5040" w:hanging="360"/>
      </w:pPr>
      <w:rPr>
        <w:rFonts w:ascii="Arial" w:hAnsi="Arial" w:hint="default"/>
      </w:rPr>
    </w:lvl>
    <w:lvl w:ilvl="7" w:tplc="1444F35C" w:tentative="1">
      <w:start w:val="1"/>
      <w:numFmt w:val="bullet"/>
      <w:lvlText w:val="•"/>
      <w:lvlJc w:val="left"/>
      <w:pPr>
        <w:tabs>
          <w:tab w:val="num" w:pos="5760"/>
        </w:tabs>
        <w:ind w:left="5760" w:hanging="360"/>
      </w:pPr>
      <w:rPr>
        <w:rFonts w:ascii="Arial" w:hAnsi="Arial" w:hint="default"/>
      </w:rPr>
    </w:lvl>
    <w:lvl w:ilvl="8" w:tplc="D43EFF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CF4643"/>
    <w:multiLevelType w:val="hybridMultilevel"/>
    <w:tmpl w:val="9D94E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E13B5"/>
    <w:multiLevelType w:val="hybridMultilevel"/>
    <w:tmpl w:val="6400B476"/>
    <w:lvl w:ilvl="0" w:tplc="9A286EBC">
      <w:start w:val="1"/>
      <w:numFmt w:val="bullet"/>
      <w:lvlText w:val="•"/>
      <w:lvlJc w:val="left"/>
      <w:pPr>
        <w:tabs>
          <w:tab w:val="num" w:pos="720"/>
        </w:tabs>
        <w:ind w:left="720" w:hanging="360"/>
      </w:pPr>
      <w:rPr>
        <w:rFonts w:ascii="Arial" w:hAnsi="Arial" w:hint="default"/>
      </w:rPr>
    </w:lvl>
    <w:lvl w:ilvl="1" w:tplc="8452A6D4" w:tentative="1">
      <w:start w:val="1"/>
      <w:numFmt w:val="bullet"/>
      <w:lvlText w:val="•"/>
      <w:lvlJc w:val="left"/>
      <w:pPr>
        <w:tabs>
          <w:tab w:val="num" w:pos="1440"/>
        </w:tabs>
        <w:ind w:left="1440" w:hanging="360"/>
      </w:pPr>
      <w:rPr>
        <w:rFonts w:ascii="Arial" w:hAnsi="Arial" w:hint="default"/>
      </w:rPr>
    </w:lvl>
    <w:lvl w:ilvl="2" w:tplc="8634E876">
      <w:start w:val="1"/>
      <w:numFmt w:val="bullet"/>
      <w:lvlText w:val="•"/>
      <w:lvlJc w:val="left"/>
      <w:pPr>
        <w:tabs>
          <w:tab w:val="num" w:pos="2160"/>
        </w:tabs>
        <w:ind w:left="2160" w:hanging="360"/>
      </w:pPr>
      <w:rPr>
        <w:rFonts w:ascii="Arial" w:hAnsi="Arial" w:hint="default"/>
      </w:rPr>
    </w:lvl>
    <w:lvl w:ilvl="3" w:tplc="976A6A44" w:tentative="1">
      <w:start w:val="1"/>
      <w:numFmt w:val="bullet"/>
      <w:lvlText w:val="•"/>
      <w:lvlJc w:val="left"/>
      <w:pPr>
        <w:tabs>
          <w:tab w:val="num" w:pos="2880"/>
        </w:tabs>
        <w:ind w:left="2880" w:hanging="360"/>
      </w:pPr>
      <w:rPr>
        <w:rFonts w:ascii="Arial" w:hAnsi="Arial" w:hint="default"/>
      </w:rPr>
    </w:lvl>
    <w:lvl w:ilvl="4" w:tplc="1952C344" w:tentative="1">
      <w:start w:val="1"/>
      <w:numFmt w:val="bullet"/>
      <w:lvlText w:val="•"/>
      <w:lvlJc w:val="left"/>
      <w:pPr>
        <w:tabs>
          <w:tab w:val="num" w:pos="3600"/>
        </w:tabs>
        <w:ind w:left="3600" w:hanging="360"/>
      </w:pPr>
      <w:rPr>
        <w:rFonts w:ascii="Arial" w:hAnsi="Arial" w:hint="default"/>
      </w:rPr>
    </w:lvl>
    <w:lvl w:ilvl="5" w:tplc="9EBE6F2E" w:tentative="1">
      <w:start w:val="1"/>
      <w:numFmt w:val="bullet"/>
      <w:lvlText w:val="•"/>
      <w:lvlJc w:val="left"/>
      <w:pPr>
        <w:tabs>
          <w:tab w:val="num" w:pos="4320"/>
        </w:tabs>
        <w:ind w:left="4320" w:hanging="360"/>
      </w:pPr>
      <w:rPr>
        <w:rFonts w:ascii="Arial" w:hAnsi="Arial" w:hint="default"/>
      </w:rPr>
    </w:lvl>
    <w:lvl w:ilvl="6" w:tplc="D276B91A" w:tentative="1">
      <w:start w:val="1"/>
      <w:numFmt w:val="bullet"/>
      <w:lvlText w:val="•"/>
      <w:lvlJc w:val="left"/>
      <w:pPr>
        <w:tabs>
          <w:tab w:val="num" w:pos="5040"/>
        </w:tabs>
        <w:ind w:left="5040" w:hanging="360"/>
      </w:pPr>
      <w:rPr>
        <w:rFonts w:ascii="Arial" w:hAnsi="Arial" w:hint="default"/>
      </w:rPr>
    </w:lvl>
    <w:lvl w:ilvl="7" w:tplc="A77249BC" w:tentative="1">
      <w:start w:val="1"/>
      <w:numFmt w:val="bullet"/>
      <w:lvlText w:val="•"/>
      <w:lvlJc w:val="left"/>
      <w:pPr>
        <w:tabs>
          <w:tab w:val="num" w:pos="5760"/>
        </w:tabs>
        <w:ind w:left="5760" w:hanging="360"/>
      </w:pPr>
      <w:rPr>
        <w:rFonts w:ascii="Arial" w:hAnsi="Arial" w:hint="default"/>
      </w:rPr>
    </w:lvl>
    <w:lvl w:ilvl="8" w:tplc="2A22A8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520A5D"/>
    <w:multiLevelType w:val="singleLevel"/>
    <w:tmpl w:val="F4863B6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3F6010AB"/>
    <w:multiLevelType w:val="hybridMultilevel"/>
    <w:tmpl w:val="32D2FD66"/>
    <w:lvl w:ilvl="0" w:tplc="CA2482F4">
      <w:start w:val="1"/>
      <w:numFmt w:val="bullet"/>
      <w:lvlText w:val="•"/>
      <w:lvlJc w:val="left"/>
      <w:pPr>
        <w:tabs>
          <w:tab w:val="num" w:pos="720"/>
        </w:tabs>
        <w:ind w:left="720" w:hanging="360"/>
      </w:pPr>
      <w:rPr>
        <w:rFonts w:ascii="Arial" w:hAnsi="Arial" w:hint="default"/>
      </w:rPr>
    </w:lvl>
    <w:lvl w:ilvl="1" w:tplc="34305DC6" w:tentative="1">
      <w:start w:val="1"/>
      <w:numFmt w:val="bullet"/>
      <w:lvlText w:val="•"/>
      <w:lvlJc w:val="left"/>
      <w:pPr>
        <w:tabs>
          <w:tab w:val="num" w:pos="1440"/>
        </w:tabs>
        <w:ind w:left="1440" w:hanging="360"/>
      </w:pPr>
      <w:rPr>
        <w:rFonts w:ascii="Arial" w:hAnsi="Arial" w:hint="default"/>
      </w:rPr>
    </w:lvl>
    <w:lvl w:ilvl="2" w:tplc="0322AB18" w:tentative="1">
      <w:start w:val="1"/>
      <w:numFmt w:val="bullet"/>
      <w:lvlText w:val="•"/>
      <w:lvlJc w:val="left"/>
      <w:pPr>
        <w:tabs>
          <w:tab w:val="num" w:pos="2160"/>
        </w:tabs>
        <w:ind w:left="2160" w:hanging="360"/>
      </w:pPr>
      <w:rPr>
        <w:rFonts w:ascii="Arial" w:hAnsi="Arial" w:hint="default"/>
      </w:rPr>
    </w:lvl>
    <w:lvl w:ilvl="3" w:tplc="5712E174">
      <w:start w:val="1"/>
      <w:numFmt w:val="bullet"/>
      <w:lvlText w:val="•"/>
      <w:lvlJc w:val="left"/>
      <w:pPr>
        <w:tabs>
          <w:tab w:val="num" w:pos="2880"/>
        </w:tabs>
        <w:ind w:left="2880" w:hanging="360"/>
      </w:pPr>
      <w:rPr>
        <w:rFonts w:ascii="Arial" w:hAnsi="Arial" w:hint="default"/>
      </w:rPr>
    </w:lvl>
    <w:lvl w:ilvl="4" w:tplc="A6D007F8" w:tentative="1">
      <w:start w:val="1"/>
      <w:numFmt w:val="bullet"/>
      <w:lvlText w:val="•"/>
      <w:lvlJc w:val="left"/>
      <w:pPr>
        <w:tabs>
          <w:tab w:val="num" w:pos="3600"/>
        </w:tabs>
        <w:ind w:left="3600" w:hanging="360"/>
      </w:pPr>
      <w:rPr>
        <w:rFonts w:ascii="Arial" w:hAnsi="Arial" w:hint="default"/>
      </w:rPr>
    </w:lvl>
    <w:lvl w:ilvl="5" w:tplc="2576AC6C" w:tentative="1">
      <w:start w:val="1"/>
      <w:numFmt w:val="bullet"/>
      <w:lvlText w:val="•"/>
      <w:lvlJc w:val="left"/>
      <w:pPr>
        <w:tabs>
          <w:tab w:val="num" w:pos="4320"/>
        </w:tabs>
        <w:ind w:left="4320" w:hanging="360"/>
      </w:pPr>
      <w:rPr>
        <w:rFonts w:ascii="Arial" w:hAnsi="Arial" w:hint="default"/>
      </w:rPr>
    </w:lvl>
    <w:lvl w:ilvl="6" w:tplc="59C66068" w:tentative="1">
      <w:start w:val="1"/>
      <w:numFmt w:val="bullet"/>
      <w:lvlText w:val="•"/>
      <w:lvlJc w:val="left"/>
      <w:pPr>
        <w:tabs>
          <w:tab w:val="num" w:pos="5040"/>
        </w:tabs>
        <w:ind w:left="5040" w:hanging="360"/>
      </w:pPr>
      <w:rPr>
        <w:rFonts w:ascii="Arial" w:hAnsi="Arial" w:hint="default"/>
      </w:rPr>
    </w:lvl>
    <w:lvl w:ilvl="7" w:tplc="EE1A04C6" w:tentative="1">
      <w:start w:val="1"/>
      <w:numFmt w:val="bullet"/>
      <w:lvlText w:val="•"/>
      <w:lvlJc w:val="left"/>
      <w:pPr>
        <w:tabs>
          <w:tab w:val="num" w:pos="5760"/>
        </w:tabs>
        <w:ind w:left="5760" w:hanging="360"/>
      </w:pPr>
      <w:rPr>
        <w:rFonts w:ascii="Arial" w:hAnsi="Arial" w:hint="default"/>
      </w:rPr>
    </w:lvl>
    <w:lvl w:ilvl="8" w:tplc="719AB9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251BA9"/>
    <w:multiLevelType w:val="multilevel"/>
    <w:tmpl w:val="BFA49760"/>
    <w:lvl w:ilvl="0">
      <w:start w:val="1"/>
      <w:numFmt w:val="upperLetter"/>
      <w:pStyle w:val="Heading3"/>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15:restartNumberingAfterBreak="0">
    <w:nsid w:val="44CB6B3C"/>
    <w:multiLevelType w:val="hybridMultilevel"/>
    <w:tmpl w:val="4000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D6439"/>
    <w:multiLevelType w:val="multilevel"/>
    <w:tmpl w:val="63D68D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034B9E"/>
    <w:multiLevelType w:val="hybridMultilevel"/>
    <w:tmpl w:val="385A46FC"/>
    <w:lvl w:ilvl="0" w:tplc="8584AC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2664D"/>
    <w:multiLevelType w:val="hybridMultilevel"/>
    <w:tmpl w:val="0E24E2FC"/>
    <w:lvl w:ilvl="0" w:tplc="05BE8A04">
      <w:start w:val="1"/>
      <w:numFmt w:val="lowerRoman"/>
      <w:pStyle w:val="Heading6"/>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4E92A4B"/>
    <w:multiLevelType w:val="hybridMultilevel"/>
    <w:tmpl w:val="AFEEAB68"/>
    <w:lvl w:ilvl="0" w:tplc="986E46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B3D72"/>
    <w:multiLevelType w:val="hybridMultilevel"/>
    <w:tmpl w:val="661EFFB2"/>
    <w:lvl w:ilvl="0" w:tplc="50647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76BAA"/>
    <w:multiLevelType w:val="hybridMultilevel"/>
    <w:tmpl w:val="2DBCEAE6"/>
    <w:lvl w:ilvl="0" w:tplc="04EAC61A">
      <w:start w:val="1"/>
      <w:numFmt w:val="bullet"/>
      <w:lvlText w:val="•"/>
      <w:lvlJc w:val="left"/>
      <w:pPr>
        <w:tabs>
          <w:tab w:val="num" w:pos="720"/>
        </w:tabs>
        <w:ind w:left="720" w:hanging="360"/>
      </w:pPr>
      <w:rPr>
        <w:rFonts w:ascii="Arial" w:hAnsi="Arial" w:hint="default"/>
      </w:rPr>
    </w:lvl>
    <w:lvl w:ilvl="1" w:tplc="8C48380C" w:tentative="1">
      <w:start w:val="1"/>
      <w:numFmt w:val="bullet"/>
      <w:lvlText w:val="•"/>
      <w:lvlJc w:val="left"/>
      <w:pPr>
        <w:tabs>
          <w:tab w:val="num" w:pos="1440"/>
        </w:tabs>
        <w:ind w:left="1440" w:hanging="360"/>
      </w:pPr>
      <w:rPr>
        <w:rFonts w:ascii="Arial" w:hAnsi="Arial" w:hint="default"/>
      </w:rPr>
    </w:lvl>
    <w:lvl w:ilvl="2" w:tplc="7D88720A">
      <w:start w:val="1"/>
      <w:numFmt w:val="bullet"/>
      <w:lvlText w:val="•"/>
      <w:lvlJc w:val="left"/>
      <w:pPr>
        <w:tabs>
          <w:tab w:val="num" w:pos="2160"/>
        </w:tabs>
        <w:ind w:left="2160" w:hanging="360"/>
      </w:pPr>
      <w:rPr>
        <w:rFonts w:ascii="Arial" w:hAnsi="Arial" w:hint="default"/>
      </w:rPr>
    </w:lvl>
    <w:lvl w:ilvl="3" w:tplc="4B2654BA" w:tentative="1">
      <w:start w:val="1"/>
      <w:numFmt w:val="bullet"/>
      <w:lvlText w:val="•"/>
      <w:lvlJc w:val="left"/>
      <w:pPr>
        <w:tabs>
          <w:tab w:val="num" w:pos="2880"/>
        </w:tabs>
        <w:ind w:left="2880" w:hanging="360"/>
      </w:pPr>
      <w:rPr>
        <w:rFonts w:ascii="Arial" w:hAnsi="Arial" w:hint="default"/>
      </w:rPr>
    </w:lvl>
    <w:lvl w:ilvl="4" w:tplc="BE30F03E" w:tentative="1">
      <w:start w:val="1"/>
      <w:numFmt w:val="bullet"/>
      <w:lvlText w:val="•"/>
      <w:lvlJc w:val="left"/>
      <w:pPr>
        <w:tabs>
          <w:tab w:val="num" w:pos="3600"/>
        </w:tabs>
        <w:ind w:left="3600" w:hanging="360"/>
      </w:pPr>
      <w:rPr>
        <w:rFonts w:ascii="Arial" w:hAnsi="Arial" w:hint="default"/>
      </w:rPr>
    </w:lvl>
    <w:lvl w:ilvl="5" w:tplc="19C2A814" w:tentative="1">
      <w:start w:val="1"/>
      <w:numFmt w:val="bullet"/>
      <w:lvlText w:val="•"/>
      <w:lvlJc w:val="left"/>
      <w:pPr>
        <w:tabs>
          <w:tab w:val="num" w:pos="4320"/>
        </w:tabs>
        <w:ind w:left="4320" w:hanging="360"/>
      </w:pPr>
      <w:rPr>
        <w:rFonts w:ascii="Arial" w:hAnsi="Arial" w:hint="default"/>
      </w:rPr>
    </w:lvl>
    <w:lvl w:ilvl="6" w:tplc="87A4291E" w:tentative="1">
      <w:start w:val="1"/>
      <w:numFmt w:val="bullet"/>
      <w:lvlText w:val="•"/>
      <w:lvlJc w:val="left"/>
      <w:pPr>
        <w:tabs>
          <w:tab w:val="num" w:pos="5040"/>
        </w:tabs>
        <w:ind w:left="5040" w:hanging="360"/>
      </w:pPr>
      <w:rPr>
        <w:rFonts w:ascii="Arial" w:hAnsi="Arial" w:hint="default"/>
      </w:rPr>
    </w:lvl>
    <w:lvl w:ilvl="7" w:tplc="C442A2D4" w:tentative="1">
      <w:start w:val="1"/>
      <w:numFmt w:val="bullet"/>
      <w:lvlText w:val="•"/>
      <w:lvlJc w:val="left"/>
      <w:pPr>
        <w:tabs>
          <w:tab w:val="num" w:pos="5760"/>
        </w:tabs>
        <w:ind w:left="5760" w:hanging="360"/>
      </w:pPr>
      <w:rPr>
        <w:rFonts w:ascii="Arial" w:hAnsi="Arial" w:hint="default"/>
      </w:rPr>
    </w:lvl>
    <w:lvl w:ilvl="8" w:tplc="42422B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2550B7"/>
    <w:multiLevelType w:val="hybridMultilevel"/>
    <w:tmpl w:val="A6D2749E"/>
    <w:lvl w:ilvl="0" w:tplc="4AB4687E">
      <w:start w:val="1"/>
      <w:numFmt w:val="bullet"/>
      <w:lvlText w:val="•"/>
      <w:lvlJc w:val="left"/>
      <w:pPr>
        <w:tabs>
          <w:tab w:val="num" w:pos="720"/>
        </w:tabs>
        <w:ind w:left="720" w:hanging="360"/>
      </w:pPr>
      <w:rPr>
        <w:rFonts w:ascii="Arial" w:hAnsi="Arial" w:hint="default"/>
      </w:rPr>
    </w:lvl>
    <w:lvl w:ilvl="1" w:tplc="37A2CACA" w:tentative="1">
      <w:start w:val="1"/>
      <w:numFmt w:val="bullet"/>
      <w:lvlText w:val="•"/>
      <w:lvlJc w:val="left"/>
      <w:pPr>
        <w:tabs>
          <w:tab w:val="num" w:pos="1440"/>
        </w:tabs>
        <w:ind w:left="1440" w:hanging="360"/>
      </w:pPr>
      <w:rPr>
        <w:rFonts w:ascii="Arial" w:hAnsi="Arial" w:hint="default"/>
      </w:rPr>
    </w:lvl>
    <w:lvl w:ilvl="2" w:tplc="22125342" w:tentative="1">
      <w:start w:val="1"/>
      <w:numFmt w:val="bullet"/>
      <w:lvlText w:val="•"/>
      <w:lvlJc w:val="left"/>
      <w:pPr>
        <w:tabs>
          <w:tab w:val="num" w:pos="2160"/>
        </w:tabs>
        <w:ind w:left="2160" w:hanging="360"/>
      </w:pPr>
      <w:rPr>
        <w:rFonts w:ascii="Arial" w:hAnsi="Arial" w:hint="default"/>
      </w:rPr>
    </w:lvl>
    <w:lvl w:ilvl="3" w:tplc="78C80392">
      <w:start w:val="1"/>
      <w:numFmt w:val="bullet"/>
      <w:lvlText w:val="•"/>
      <w:lvlJc w:val="left"/>
      <w:pPr>
        <w:tabs>
          <w:tab w:val="num" w:pos="2880"/>
        </w:tabs>
        <w:ind w:left="2880" w:hanging="360"/>
      </w:pPr>
      <w:rPr>
        <w:rFonts w:ascii="Arial" w:hAnsi="Arial" w:hint="default"/>
      </w:rPr>
    </w:lvl>
    <w:lvl w:ilvl="4" w:tplc="5FDE351C" w:tentative="1">
      <w:start w:val="1"/>
      <w:numFmt w:val="bullet"/>
      <w:lvlText w:val="•"/>
      <w:lvlJc w:val="left"/>
      <w:pPr>
        <w:tabs>
          <w:tab w:val="num" w:pos="3600"/>
        </w:tabs>
        <w:ind w:left="3600" w:hanging="360"/>
      </w:pPr>
      <w:rPr>
        <w:rFonts w:ascii="Arial" w:hAnsi="Arial" w:hint="default"/>
      </w:rPr>
    </w:lvl>
    <w:lvl w:ilvl="5" w:tplc="EEDE7F62" w:tentative="1">
      <w:start w:val="1"/>
      <w:numFmt w:val="bullet"/>
      <w:lvlText w:val="•"/>
      <w:lvlJc w:val="left"/>
      <w:pPr>
        <w:tabs>
          <w:tab w:val="num" w:pos="4320"/>
        </w:tabs>
        <w:ind w:left="4320" w:hanging="360"/>
      </w:pPr>
      <w:rPr>
        <w:rFonts w:ascii="Arial" w:hAnsi="Arial" w:hint="default"/>
      </w:rPr>
    </w:lvl>
    <w:lvl w:ilvl="6" w:tplc="5E14B71E" w:tentative="1">
      <w:start w:val="1"/>
      <w:numFmt w:val="bullet"/>
      <w:lvlText w:val="•"/>
      <w:lvlJc w:val="left"/>
      <w:pPr>
        <w:tabs>
          <w:tab w:val="num" w:pos="5040"/>
        </w:tabs>
        <w:ind w:left="5040" w:hanging="360"/>
      </w:pPr>
      <w:rPr>
        <w:rFonts w:ascii="Arial" w:hAnsi="Arial" w:hint="default"/>
      </w:rPr>
    </w:lvl>
    <w:lvl w:ilvl="7" w:tplc="9940C4A2" w:tentative="1">
      <w:start w:val="1"/>
      <w:numFmt w:val="bullet"/>
      <w:lvlText w:val="•"/>
      <w:lvlJc w:val="left"/>
      <w:pPr>
        <w:tabs>
          <w:tab w:val="num" w:pos="5760"/>
        </w:tabs>
        <w:ind w:left="5760" w:hanging="360"/>
      </w:pPr>
      <w:rPr>
        <w:rFonts w:ascii="Arial" w:hAnsi="Arial" w:hint="default"/>
      </w:rPr>
    </w:lvl>
    <w:lvl w:ilvl="8" w:tplc="00F893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B3649A"/>
    <w:multiLevelType w:val="hybridMultilevel"/>
    <w:tmpl w:val="D8FE2F22"/>
    <w:lvl w:ilvl="0" w:tplc="107E16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93D10"/>
    <w:multiLevelType w:val="hybridMultilevel"/>
    <w:tmpl w:val="C304141C"/>
    <w:lvl w:ilvl="0" w:tplc="ED186632">
      <w:start w:val="1"/>
      <w:numFmt w:val="bullet"/>
      <w:lvlText w:val="•"/>
      <w:lvlJc w:val="left"/>
      <w:pPr>
        <w:tabs>
          <w:tab w:val="num" w:pos="720"/>
        </w:tabs>
        <w:ind w:left="720" w:hanging="360"/>
      </w:pPr>
      <w:rPr>
        <w:rFonts w:ascii="Arial" w:hAnsi="Arial" w:hint="default"/>
      </w:rPr>
    </w:lvl>
    <w:lvl w:ilvl="1" w:tplc="E3C6A856" w:tentative="1">
      <w:start w:val="1"/>
      <w:numFmt w:val="bullet"/>
      <w:lvlText w:val="•"/>
      <w:lvlJc w:val="left"/>
      <w:pPr>
        <w:tabs>
          <w:tab w:val="num" w:pos="1440"/>
        </w:tabs>
        <w:ind w:left="1440" w:hanging="360"/>
      </w:pPr>
      <w:rPr>
        <w:rFonts w:ascii="Arial" w:hAnsi="Arial" w:hint="default"/>
      </w:rPr>
    </w:lvl>
    <w:lvl w:ilvl="2" w:tplc="70BC5572" w:tentative="1">
      <w:start w:val="1"/>
      <w:numFmt w:val="bullet"/>
      <w:lvlText w:val="•"/>
      <w:lvlJc w:val="left"/>
      <w:pPr>
        <w:tabs>
          <w:tab w:val="num" w:pos="2160"/>
        </w:tabs>
        <w:ind w:left="2160" w:hanging="360"/>
      </w:pPr>
      <w:rPr>
        <w:rFonts w:ascii="Arial" w:hAnsi="Arial" w:hint="default"/>
      </w:rPr>
    </w:lvl>
    <w:lvl w:ilvl="3" w:tplc="7C4E61C2">
      <w:start w:val="1"/>
      <w:numFmt w:val="bullet"/>
      <w:lvlText w:val="•"/>
      <w:lvlJc w:val="left"/>
      <w:pPr>
        <w:tabs>
          <w:tab w:val="num" w:pos="2880"/>
        </w:tabs>
        <w:ind w:left="2880" w:hanging="360"/>
      </w:pPr>
      <w:rPr>
        <w:rFonts w:ascii="Arial" w:hAnsi="Arial" w:hint="default"/>
      </w:rPr>
    </w:lvl>
    <w:lvl w:ilvl="4" w:tplc="C0867A5C" w:tentative="1">
      <w:start w:val="1"/>
      <w:numFmt w:val="bullet"/>
      <w:lvlText w:val="•"/>
      <w:lvlJc w:val="left"/>
      <w:pPr>
        <w:tabs>
          <w:tab w:val="num" w:pos="3600"/>
        </w:tabs>
        <w:ind w:left="3600" w:hanging="360"/>
      </w:pPr>
      <w:rPr>
        <w:rFonts w:ascii="Arial" w:hAnsi="Arial" w:hint="default"/>
      </w:rPr>
    </w:lvl>
    <w:lvl w:ilvl="5" w:tplc="C226B19E" w:tentative="1">
      <w:start w:val="1"/>
      <w:numFmt w:val="bullet"/>
      <w:lvlText w:val="•"/>
      <w:lvlJc w:val="left"/>
      <w:pPr>
        <w:tabs>
          <w:tab w:val="num" w:pos="4320"/>
        </w:tabs>
        <w:ind w:left="4320" w:hanging="360"/>
      </w:pPr>
      <w:rPr>
        <w:rFonts w:ascii="Arial" w:hAnsi="Arial" w:hint="default"/>
      </w:rPr>
    </w:lvl>
    <w:lvl w:ilvl="6" w:tplc="ACDE38B8" w:tentative="1">
      <w:start w:val="1"/>
      <w:numFmt w:val="bullet"/>
      <w:lvlText w:val="•"/>
      <w:lvlJc w:val="left"/>
      <w:pPr>
        <w:tabs>
          <w:tab w:val="num" w:pos="5040"/>
        </w:tabs>
        <w:ind w:left="5040" w:hanging="360"/>
      </w:pPr>
      <w:rPr>
        <w:rFonts w:ascii="Arial" w:hAnsi="Arial" w:hint="default"/>
      </w:rPr>
    </w:lvl>
    <w:lvl w:ilvl="7" w:tplc="48066ECE" w:tentative="1">
      <w:start w:val="1"/>
      <w:numFmt w:val="bullet"/>
      <w:lvlText w:val="•"/>
      <w:lvlJc w:val="left"/>
      <w:pPr>
        <w:tabs>
          <w:tab w:val="num" w:pos="5760"/>
        </w:tabs>
        <w:ind w:left="5760" w:hanging="360"/>
      </w:pPr>
      <w:rPr>
        <w:rFonts w:ascii="Arial" w:hAnsi="Arial" w:hint="default"/>
      </w:rPr>
    </w:lvl>
    <w:lvl w:ilvl="8" w:tplc="2F94C90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D003F6"/>
    <w:multiLevelType w:val="multilevel"/>
    <w:tmpl w:val="7B32927A"/>
    <w:lvl w:ilvl="0">
      <w:start w:val="1"/>
      <w:numFmt w:val="lowerLetter"/>
      <w:pStyle w:val="Heading5"/>
      <w:lvlText w:val="%1."/>
      <w:lvlJc w:val="left"/>
      <w:pPr>
        <w:ind w:left="1800" w:hanging="360"/>
      </w:pPr>
      <w:rPr>
        <w:i/>
        <w:i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15:restartNumberingAfterBreak="0">
    <w:nsid w:val="75EC3779"/>
    <w:multiLevelType w:val="singleLevel"/>
    <w:tmpl w:val="5174439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790B6994"/>
    <w:multiLevelType w:val="multilevel"/>
    <w:tmpl w:val="A1969712"/>
    <w:lvl w:ilvl="0">
      <w:start w:val="1"/>
      <w:numFmt w:val="decimal"/>
      <w:pStyle w:val="Heading4"/>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9B735B1"/>
    <w:multiLevelType w:val="hybridMultilevel"/>
    <w:tmpl w:val="F0988A74"/>
    <w:lvl w:ilvl="0" w:tplc="0409001B">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444D8A"/>
    <w:multiLevelType w:val="hybridMultilevel"/>
    <w:tmpl w:val="B42A1E2A"/>
    <w:lvl w:ilvl="0" w:tplc="9CB8DAA0">
      <w:start w:val="1"/>
      <w:numFmt w:val="bullet"/>
      <w:lvlText w:val="•"/>
      <w:lvlJc w:val="left"/>
      <w:pPr>
        <w:tabs>
          <w:tab w:val="num" w:pos="720"/>
        </w:tabs>
        <w:ind w:left="720" w:hanging="360"/>
      </w:pPr>
      <w:rPr>
        <w:rFonts w:ascii="Arial" w:hAnsi="Arial" w:hint="default"/>
      </w:rPr>
    </w:lvl>
    <w:lvl w:ilvl="1" w:tplc="D7660EFC" w:tentative="1">
      <w:start w:val="1"/>
      <w:numFmt w:val="bullet"/>
      <w:lvlText w:val="•"/>
      <w:lvlJc w:val="left"/>
      <w:pPr>
        <w:tabs>
          <w:tab w:val="num" w:pos="1440"/>
        </w:tabs>
        <w:ind w:left="1440" w:hanging="360"/>
      </w:pPr>
      <w:rPr>
        <w:rFonts w:ascii="Arial" w:hAnsi="Arial" w:hint="default"/>
      </w:rPr>
    </w:lvl>
    <w:lvl w:ilvl="2" w:tplc="5CEA19FC">
      <w:start w:val="1"/>
      <w:numFmt w:val="bullet"/>
      <w:lvlText w:val="•"/>
      <w:lvlJc w:val="left"/>
      <w:pPr>
        <w:tabs>
          <w:tab w:val="num" w:pos="2160"/>
        </w:tabs>
        <w:ind w:left="2160" w:hanging="360"/>
      </w:pPr>
      <w:rPr>
        <w:rFonts w:ascii="Arial" w:hAnsi="Arial" w:hint="default"/>
      </w:rPr>
    </w:lvl>
    <w:lvl w:ilvl="3" w:tplc="44BAF8D8" w:tentative="1">
      <w:start w:val="1"/>
      <w:numFmt w:val="bullet"/>
      <w:lvlText w:val="•"/>
      <w:lvlJc w:val="left"/>
      <w:pPr>
        <w:tabs>
          <w:tab w:val="num" w:pos="2880"/>
        </w:tabs>
        <w:ind w:left="2880" w:hanging="360"/>
      </w:pPr>
      <w:rPr>
        <w:rFonts w:ascii="Arial" w:hAnsi="Arial" w:hint="default"/>
      </w:rPr>
    </w:lvl>
    <w:lvl w:ilvl="4" w:tplc="1CBCAD76" w:tentative="1">
      <w:start w:val="1"/>
      <w:numFmt w:val="bullet"/>
      <w:lvlText w:val="•"/>
      <w:lvlJc w:val="left"/>
      <w:pPr>
        <w:tabs>
          <w:tab w:val="num" w:pos="3600"/>
        </w:tabs>
        <w:ind w:left="3600" w:hanging="360"/>
      </w:pPr>
      <w:rPr>
        <w:rFonts w:ascii="Arial" w:hAnsi="Arial" w:hint="default"/>
      </w:rPr>
    </w:lvl>
    <w:lvl w:ilvl="5" w:tplc="FB4E6FA0" w:tentative="1">
      <w:start w:val="1"/>
      <w:numFmt w:val="bullet"/>
      <w:lvlText w:val="•"/>
      <w:lvlJc w:val="left"/>
      <w:pPr>
        <w:tabs>
          <w:tab w:val="num" w:pos="4320"/>
        </w:tabs>
        <w:ind w:left="4320" w:hanging="360"/>
      </w:pPr>
      <w:rPr>
        <w:rFonts w:ascii="Arial" w:hAnsi="Arial" w:hint="default"/>
      </w:rPr>
    </w:lvl>
    <w:lvl w:ilvl="6" w:tplc="C9C89E14" w:tentative="1">
      <w:start w:val="1"/>
      <w:numFmt w:val="bullet"/>
      <w:lvlText w:val="•"/>
      <w:lvlJc w:val="left"/>
      <w:pPr>
        <w:tabs>
          <w:tab w:val="num" w:pos="5040"/>
        </w:tabs>
        <w:ind w:left="5040" w:hanging="360"/>
      </w:pPr>
      <w:rPr>
        <w:rFonts w:ascii="Arial" w:hAnsi="Arial" w:hint="default"/>
      </w:rPr>
    </w:lvl>
    <w:lvl w:ilvl="7" w:tplc="0F020E16" w:tentative="1">
      <w:start w:val="1"/>
      <w:numFmt w:val="bullet"/>
      <w:lvlText w:val="•"/>
      <w:lvlJc w:val="left"/>
      <w:pPr>
        <w:tabs>
          <w:tab w:val="num" w:pos="5760"/>
        </w:tabs>
        <w:ind w:left="5760" w:hanging="360"/>
      </w:pPr>
      <w:rPr>
        <w:rFonts w:ascii="Arial" w:hAnsi="Arial" w:hint="default"/>
      </w:rPr>
    </w:lvl>
    <w:lvl w:ilvl="8" w:tplc="B596B3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815EE7"/>
    <w:multiLevelType w:val="hybridMultilevel"/>
    <w:tmpl w:val="04F805C8"/>
    <w:lvl w:ilvl="0" w:tplc="2618E3A6">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40823642">
    <w:abstractNumId w:val="20"/>
  </w:num>
  <w:num w:numId="2" w16cid:durableId="647394579">
    <w:abstractNumId w:val="24"/>
  </w:num>
  <w:num w:numId="3" w16cid:durableId="758646334">
    <w:abstractNumId w:val="28"/>
  </w:num>
  <w:num w:numId="4" w16cid:durableId="836381682">
    <w:abstractNumId w:val="25"/>
  </w:num>
  <w:num w:numId="5" w16cid:durableId="677971322">
    <w:abstractNumId w:val="22"/>
  </w:num>
  <w:num w:numId="6" w16cid:durableId="51781470">
    <w:abstractNumId w:val="8"/>
  </w:num>
  <w:num w:numId="7" w16cid:durableId="661276525">
    <w:abstractNumId w:val="29"/>
  </w:num>
  <w:num w:numId="8" w16cid:durableId="14774138">
    <w:abstractNumId w:val="33"/>
  </w:num>
  <w:num w:numId="9" w16cid:durableId="1804693141">
    <w:abstractNumId w:val="26"/>
  </w:num>
  <w:num w:numId="10" w16cid:durableId="1943955313">
    <w:abstractNumId w:val="7"/>
  </w:num>
  <w:num w:numId="11" w16cid:durableId="246574791">
    <w:abstractNumId w:val="16"/>
  </w:num>
  <w:num w:numId="12" w16cid:durableId="331957762">
    <w:abstractNumId w:val="9"/>
  </w:num>
  <w:num w:numId="13" w16cid:durableId="1756827685">
    <w:abstractNumId w:val="8"/>
  </w:num>
  <w:num w:numId="14" w16cid:durableId="1882983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8502513">
    <w:abstractNumId w:val="25"/>
    <w:lvlOverride w:ilvl="0">
      <w:startOverride w:val="1"/>
    </w:lvlOverride>
  </w:num>
  <w:num w:numId="16" w16cid:durableId="9842396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796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1762905">
    <w:abstractNumId w:val="2"/>
  </w:num>
  <w:num w:numId="19" w16cid:durableId="1575042416">
    <w:abstractNumId w:val="34"/>
  </w:num>
  <w:num w:numId="20" w16cid:durableId="930547152">
    <w:abstractNumId w:val="14"/>
  </w:num>
  <w:num w:numId="21" w16cid:durableId="1601569559">
    <w:abstractNumId w:val="25"/>
    <w:lvlOverride w:ilvl="0">
      <w:startOverride w:val="1"/>
    </w:lvlOverride>
  </w:num>
  <w:num w:numId="22" w16cid:durableId="19420598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43968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3999628">
    <w:abstractNumId w:val="10"/>
  </w:num>
  <w:num w:numId="25" w16cid:durableId="106124083">
    <w:abstractNumId w:val="5"/>
  </w:num>
  <w:num w:numId="26" w16cid:durableId="1920481699">
    <w:abstractNumId w:val="3"/>
  </w:num>
  <w:num w:numId="27" w16cid:durableId="1655529559">
    <w:abstractNumId w:val="32"/>
  </w:num>
  <w:num w:numId="28" w16cid:durableId="1126388890">
    <w:abstractNumId w:val="12"/>
  </w:num>
  <w:num w:numId="29" w16cid:durableId="1568683630">
    <w:abstractNumId w:val="19"/>
  </w:num>
  <w:num w:numId="30" w16cid:durableId="453014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8059663">
    <w:abstractNumId w:val="35"/>
  </w:num>
  <w:num w:numId="32" w16cid:durableId="4779148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9669634">
    <w:abstractNumId w:val="32"/>
  </w:num>
  <w:num w:numId="34" w16cid:durableId="1644307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3718259">
    <w:abstractNumId w:val="19"/>
  </w:num>
  <w:num w:numId="36" w16cid:durableId="1347630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2833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39884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6868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292529">
    <w:abstractNumId w:val="17"/>
  </w:num>
  <w:num w:numId="41" w16cid:durableId="310450906">
    <w:abstractNumId w:val="13"/>
  </w:num>
  <w:num w:numId="42" w16cid:durableId="5467984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43959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59127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9539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253750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1184704">
    <w:abstractNumId w:val="15"/>
  </w:num>
  <w:num w:numId="48" w16cid:durableId="1708601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9372513">
    <w:abstractNumId w:val="31"/>
  </w:num>
  <w:num w:numId="50" w16cid:durableId="1067991540">
    <w:abstractNumId w:val="11"/>
  </w:num>
  <w:num w:numId="51" w16cid:durableId="280957832">
    <w:abstractNumId w:val="4"/>
  </w:num>
  <w:num w:numId="52" w16cid:durableId="2085300982">
    <w:abstractNumId w:val="21"/>
  </w:num>
  <w:num w:numId="53" w16cid:durableId="503084870">
    <w:abstractNumId w:val="30"/>
  </w:num>
  <w:num w:numId="54" w16cid:durableId="1014918154">
    <w:abstractNumId w:val="30"/>
    <w:lvlOverride w:ilvl="0">
      <w:startOverride w:val="1"/>
    </w:lvlOverride>
  </w:num>
  <w:num w:numId="55" w16cid:durableId="932666294">
    <w:abstractNumId w:val="30"/>
    <w:lvlOverride w:ilvl="0">
      <w:startOverride w:val="1"/>
    </w:lvlOverride>
  </w:num>
  <w:num w:numId="56" w16cid:durableId="9006736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703027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82006800">
    <w:abstractNumId w:val="27"/>
  </w:num>
  <w:num w:numId="59" w16cid:durableId="72352580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05583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63467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854139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3976111">
    <w:abstractNumId w:val="1"/>
  </w:num>
  <w:num w:numId="64" w16cid:durableId="1834367163">
    <w:abstractNumId w:val="0"/>
  </w:num>
  <w:num w:numId="65" w16cid:durableId="2110157324">
    <w:abstractNumId w:val="18"/>
  </w:num>
  <w:num w:numId="66" w16cid:durableId="15640974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40880320">
    <w:abstractNumId w:val="23"/>
  </w:num>
  <w:num w:numId="68" w16cid:durableId="64229504">
    <w:abstractNumId w:val="23"/>
    <w:lvlOverride w:ilvl="0">
      <w:startOverride w:val="1"/>
    </w:lvlOverride>
  </w:num>
  <w:num w:numId="69" w16cid:durableId="11360277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010162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27985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0269541">
    <w:abstractNumId w:val="23"/>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8C"/>
    <w:rsid w:val="0000042C"/>
    <w:rsid w:val="000004FA"/>
    <w:rsid w:val="00000884"/>
    <w:rsid w:val="00000C34"/>
    <w:rsid w:val="00000FFB"/>
    <w:rsid w:val="0000171C"/>
    <w:rsid w:val="000017EA"/>
    <w:rsid w:val="0000180A"/>
    <w:rsid w:val="00001B44"/>
    <w:rsid w:val="00001EE5"/>
    <w:rsid w:val="00002E3A"/>
    <w:rsid w:val="00002F11"/>
    <w:rsid w:val="00002F15"/>
    <w:rsid w:val="00002FBD"/>
    <w:rsid w:val="00002FEE"/>
    <w:rsid w:val="0000304F"/>
    <w:rsid w:val="0000377F"/>
    <w:rsid w:val="00003A88"/>
    <w:rsid w:val="00003C93"/>
    <w:rsid w:val="000041EE"/>
    <w:rsid w:val="0000436D"/>
    <w:rsid w:val="0000481E"/>
    <w:rsid w:val="00004E86"/>
    <w:rsid w:val="0000503C"/>
    <w:rsid w:val="000052BA"/>
    <w:rsid w:val="0000620C"/>
    <w:rsid w:val="000063CF"/>
    <w:rsid w:val="0000646D"/>
    <w:rsid w:val="00006B17"/>
    <w:rsid w:val="00006DEF"/>
    <w:rsid w:val="000070B8"/>
    <w:rsid w:val="000076A5"/>
    <w:rsid w:val="00007E86"/>
    <w:rsid w:val="0001021D"/>
    <w:rsid w:val="00010366"/>
    <w:rsid w:val="00010474"/>
    <w:rsid w:val="000104FA"/>
    <w:rsid w:val="0001060B"/>
    <w:rsid w:val="0001063D"/>
    <w:rsid w:val="0001070B"/>
    <w:rsid w:val="00010801"/>
    <w:rsid w:val="00010BF2"/>
    <w:rsid w:val="00010C2D"/>
    <w:rsid w:val="00011930"/>
    <w:rsid w:val="00011FC9"/>
    <w:rsid w:val="000121CD"/>
    <w:rsid w:val="0001254E"/>
    <w:rsid w:val="00012704"/>
    <w:rsid w:val="00012C5F"/>
    <w:rsid w:val="00012DB2"/>
    <w:rsid w:val="00013116"/>
    <w:rsid w:val="000134D7"/>
    <w:rsid w:val="000135B9"/>
    <w:rsid w:val="0001361D"/>
    <w:rsid w:val="000138E3"/>
    <w:rsid w:val="00013915"/>
    <w:rsid w:val="0001395E"/>
    <w:rsid w:val="00014428"/>
    <w:rsid w:val="00014521"/>
    <w:rsid w:val="00014856"/>
    <w:rsid w:val="0001491F"/>
    <w:rsid w:val="0001519F"/>
    <w:rsid w:val="0001534C"/>
    <w:rsid w:val="000154A0"/>
    <w:rsid w:val="00015C03"/>
    <w:rsid w:val="00015E5F"/>
    <w:rsid w:val="0001629D"/>
    <w:rsid w:val="000163BA"/>
    <w:rsid w:val="00016744"/>
    <w:rsid w:val="000167A8"/>
    <w:rsid w:val="00016A5A"/>
    <w:rsid w:val="00016C0F"/>
    <w:rsid w:val="00016DBF"/>
    <w:rsid w:val="00016DDA"/>
    <w:rsid w:val="00017044"/>
    <w:rsid w:val="000170DA"/>
    <w:rsid w:val="00017373"/>
    <w:rsid w:val="0001746F"/>
    <w:rsid w:val="000175AE"/>
    <w:rsid w:val="000175DC"/>
    <w:rsid w:val="000177D5"/>
    <w:rsid w:val="00017834"/>
    <w:rsid w:val="00017B9D"/>
    <w:rsid w:val="00017D07"/>
    <w:rsid w:val="00017F4A"/>
    <w:rsid w:val="0002015B"/>
    <w:rsid w:val="000204CE"/>
    <w:rsid w:val="0002073D"/>
    <w:rsid w:val="00020B2A"/>
    <w:rsid w:val="00021AD8"/>
    <w:rsid w:val="00021D38"/>
    <w:rsid w:val="0002293D"/>
    <w:rsid w:val="000230F3"/>
    <w:rsid w:val="00023320"/>
    <w:rsid w:val="0002344F"/>
    <w:rsid w:val="0002345D"/>
    <w:rsid w:val="0002362A"/>
    <w:rsid w:val="0002392C"/>
    <w:rsid w:val="0002395F"/>
    <w:rsid w:val="000239FB"/>
    <w:rsid w:val="00023B95"/>
    <w:rsid w:val="00023F91"/>
    <w:rsid w:val="0002401A"/>
    <w:rsid w:val="000241A0"/>
    <w:rsid w:val="000242AB"/>
    <w:rsid w:val="000243B4"/>
    <w:rsid w:val="000243CF"/>
    <w:rsid w:val="0002451C"/>
    <w:rsid w:val="00024CF8"/>
    <w:rsid w:val="00024DF8"/>
    <w:rsid w:val="00025201"/>
    <w:rsid w:val="000254BE"/>
    <w:rsid w:val="00025A70"/>
    <w:rsid w:val="00025FBD"/>
    <w:rsid w:val="00026318"/>
    <w:rsid w:val="000263D3"/>
    <w:rsid w:val="000264AA"/>
    <w:rsid w:val="000266F7"/>
    <w:rsid w:val="00026953"/>
    <w:rsid w:val="00026969"/>
    <w:rsid w:val="000269C7"/>
    <w:rsid w:val="00027402"/>
    <w:rsid w:val="00027ED7"/>
    <w:rsid w:val="00027F10"/>
    <w:rsid w:val="00027F44"/>
    <w:rsid w:val="000303C9"/>
    <w:rsid w:val="000303EC"/>
    <w:rsid w:val="0003065D"/>
    <w:rsid w:val="0003067E"/>
    <w:rsid w:val="00031899"/>
    <w:rsid w:val="00031D15"/>
    <w:rsid w:val="00031EFE"/>
    <w:rsid w:val="00031F1E"/>
    <w:rsid w:val="00031F62"/>
    <w:rsid w:val="000325D0"/>
    <w:rsid w:val="00032B7E"/>
    <w:rsid w:val="00032B81"/>
    <w:rsid w:val="00033918"/>
    <w:rsid w:val="000339FE"/>
    <w:rsid w:val="00033B4E"/>
    <w:rsid w:val="00033C37"/>
    <w:rsid w:val="00033DA5"/>
    <w:rsid w:val="00034151"/>
    <w:rsid w:val="000345B8"/>
    <w:rsid w:val="000355D8"/>
    <w:rsid w:val="0003595E"/>
    <w:rsid w:val="000361A1"/>
    <w:rsid w:val="00036269"/>
    <w:rsid w:val="00036496"/>
    <w:rsid w:val="0003720F"/>
    <w:rsid w:val="000376DD"/>
    <w:rsid w:val="00037B87"/>
    <w:rsid w:val="0004045C"/>
    <w:rsid w:val="00040550"/>
    <w:rsid w:val="0004083D"/>
    <w:rsid w:val="00040ABF"/>
    <w:rsid w:val="00041086"/>
    <w:rsid w:val="000412AF"/>
    <w:rsid w:val="000415D1"/>
    <w:rsid w:val="000417A9"/>
    <w:rsid w:val="00041A08"/>
    <w:rsid w:val="00041B62"/>
    <w:rsid w:val="00041FE5"/>
    <w:rsid w:val="00042620"/>
    <w:rsid w:val="00042818"/>
    <w:rsid w:val="000432CA"/>
    <w:rsid w:val="00043461"/>
    <w:rsid w:val="0004384C"/>
    <w:rsid w:val="000438B8"/>
    <w:rsid w:val="00043AD6"/>
    <w:rsid w:val="00043B05"/>
    <w:rsid w:val="00043D05"/>
    <w:rsid w:val="000443F1"/>
    <w:rsid w:val="00044551"/>
    <w:rsid w:val="000445ED"/>
    <w:rsid w:val="00044695"/>
    <w:rsid w:val="000447E1"/>
    <w:rsid w:val="00044D57"/>
    <w:rsid w:val="00045104"/>
    <w:rsid w:val="00045229"/>
    <w:rsid w:val="0004527F"/>
    <w:rsid w:val="00045315"/>
    <w:rsid w:val="000457B5"/>
    <w:rsid w:val="000459B2"/>
    <w:rsid w:val="00045EE3"/>
    <w:rsid w:val="0004638D"/>
    <w:rsid w:val="0004691E"/>
    <w:rsid w:val="00046983"/>
    <w:rsid w:val="00046A40"/>
    <w:rsid w:val="00046AD8"/>
    <w:rsid w:val="00046C3D"/>
    <w:rsid w:val="00046C6D"/>
    <w:rsid w:val="00046E02"/>
    <w:rsid w:val="0004705B"/>
    <w:rsid w:val="000472DB"/>
    <w:rsid w:val="0004734E"/>
    <w:rsid w:val="00047CFB"/>
    <w:rsid w:val="00050394"/>
    <w:rsid w:val="00050581"/>
    <w:rsid w:val="0005078D"/>
    <w:rsid w:val="00050D3F"/>
    <w:rsid w:val="00050D89"/>
    <w:rsid w:val="000510FD"/>
    <w:rsid w:val="00051292"/>
    <w:rsid w:val="0005158D"/>
    <w:rsid w:val="0005182E"/>
    <w:rsid w:val="00051F90"/>
    <w:rsid w:val="00052041"/>
    <w:rsid w:val="00052070"/>
    <w:rsid w:val="00052B22"/>
    <w:rsid w:val="00052C9E"/>
    <w:rsid w:val="00052D8B"/>
    <w:rsid w:val="000531D8"/>
    <w:rsid w:val="00053D69"/>
    <w:rsid w:val="00053E4B"/>
    <w:rsid w:val="000543FE"/>
    <w:rsid w:val="00054601"/>
    <w:rsid w:val="00054689"/>
    <w:rsid w:val="00054D0C"/>
    <w:rsid w:val="0005571D"/>
    <w:rsid w:val="0005578D"/>
    <w:rsid w:val="00055AC3"/>
    <w:rsid w:val="00055DE6"/>
    <w:rsid w:val="00056068"/>
    <w:rsid w:val="0005640A"/>
    <w:rsid w:val="000567D8"/>
    <w:rsid w:val="0005732D"/>
    <w:rsid w:val="00057485"/>
    <w:rsid w:val="000574D7"/>
    <w:rsid w:val="00057752"/>
    <w:rsid w:val="00057B0D"/>
    <w:rsid w:val="00057B70"/>
    <w:rsid w:val="00057E71"/>
    <w:rsid w:val="00057F9D"/>
    <w:rsid w:val="0006013F"/>
    <w:rsid w:val="000602A6"/>
    <w:rsid w:val="00060388"/>
    <w:rsid w:val="00060399"/>
    <w:rsid w:val="000603EC"/>
    <w:rsid w:val="000612C8"/>
    <w:rsid w:val="000618D8"/>
    <w:rsid w:val="00061D19"/>
    <w:rsid w:val="00061DE9"/>
    <w:rsid w:val="00061FA5"/>
    <w:rsid w:val="00062171"/>
    <w:rsid w:val="0006309A"/>
    <w:rsid w:val="0006332C"/>
    <w:rsid w:val="00063379"/>
    <w:rsid w:val="0006349B"/>
    <w:rsid w:val="000636ED"/>
    <w:rsid w:val="00063DD3"/>
    <w:rsid w:val="00063F6C"/>
    <w:rsid w:val="0006407F"/>
    <w:rsid w:val="000644D1"/>
    <w:rsid w:val="0006457A"/>
    <w:rsid w:val="00064E83"/>
    <w:rsid w:val="00064F9B"/>
    <w:rsid w:val="00065122"/>
    <w:rsid w:val="0006516C"/>
    <w:rsid w:val="0006544E"/>
    <w:rsid w:val="000658BC"/>
    <w:rsid w:val="00065A2E"/>
    <w:rsid w:val="00065A4C"/>
    <w:rsid w:val="00065AF5"/>
    <w:rsid w:val="00066138"/>
    <w:rsid w:val="0006616D"/>
    <w:rsid w:val="000667C8"/>
    <w:rsid w:val="00066B7E"/>
    <w:rsid w:val="00066B9F"/>
    <w:rsid w:val="00066FD1"/>
    <w:rsid w:val="0006717D"/>
    <w:rsid w:val="000673A1"/>
    <w:rsid w:val="000675E3"/>
    <w:rsid w:val="00067964"/>
    <w:rsid w:val="000679BC"/>
    <w:rsid w:val="00067BF4"/>
    <w:rsid w:val="00067E7E"/>
    <w:rsid w:val="00070479"/>
    <w:rsid w:val="00070B04"/>
    <w:rsid w:val="00070F0F"/>
    <w:rsid w:val="00071093"/>
    <w:rsid w:val="00071356"/>
    <w:rsid w:val="000715A1"/>
    <w:rsid w:val="000717ED"/>
    <w:rsid w:val="00071894"/>
    <w:rsid w:val="00071B0F"/>
    <w:rsid w:val="00071DDE"/>
    <w:rsid w:val="00071F04"/>
    <w:rsid w:val="0007211C"/>
    <w:rsid w:val="000724C5"/>
    <w:rsid w:val="00073317"/>
    <w:rsid w:val="000735BF"/>
    <w:rsid w:val="000737A5"/>
    <w:rsid w:val="00073D61"/>
    <w:rsid w:val="00074007"/>
    <w:rsid w:val="00074058"/>
    <w:rsid w:val="0007412A"/>
    <w:rsid w:val="0007428C"/>
    <w:rsid w:val="000747D4"/>
    <w:rsid w:val="00074AF5"/>
    <w:rsid w:val="00074D76"/>
    <w:rsid w:val="00074DFF"/>
    <w:rsid w:val="00074F40"/>
    <w:rsid w:val="000755EA"/>
    <w:rsid w:val="00075794"/>
    <w:rsid w:val="000757CB"/>
    <w:rsid w:val="0007599C"/>
    <w:rsid w:val="00075CF0"/>
    <w:rsid w:val="00076061"/>
    <w:rsid w:val="00076424"/>
    <w:rsid w:val="0007647A"/>
    <w:rsid w:val="000764AC"/>
    <w:rsid w:val="00076B50"/>
    <w:rsid w:val="00076B9B"/>
    <w:rsid w:val="00076CF2"/>
    <w:rsid w:val="00076D19"/>
    <w:rsid w:val="00077465"/>
    <w:rsid w:val="00077901"/>
    <w:rsid w:val="00077E34"/>
    <w:rsid w:val="00077F7C"/>
    <w:rsid w:val="000801E7"/>
    <w:rsid w:val="000801F2"/>
    <w:rsid w:val="0008022A"/>
    <w:rsid w:val="00080863"/>
    <w:rsid w:val="0008089B"/>
    <w:rsid w:val="00080B2A"/>
    <w:rsid w:val="00080F09"/>
    <w:rsid w:val="00081170"/>
    <w:rsid w:val="00082270"/>
    <w:rsid w:val="00082579"/>
    <w:rsid w:val="0008284B"/>
    <w:rsid w:val="000829A8"/>
    <w:rsid w:val="00082BC6"/>
    <w:rsid w:val="00082D40"/>
    <w:rsid w:val="00083077"/>
    <w:rsid w:val="000830C5"/>
    <w:rsid w:val="000831A2"/>
    <w:rsid w:val="00083227"/>
    <w:rsid w:val="0008347C"/>
    <w:rsid w:val="000836DE"/>
    <w:rsid w:val="000839FC"/>
    <w:rsid w:val="00083D68"/>
    <w:rsid w:val="0008443E"/>
    <w:rsid w:val="000847AA"/>
    <w:rsid w:val="000848C9"/>
    <w:rsid w:val="00084AA5"/>
    <w:rsid w:val="00084FD3"/>
    <w:rsid w:val="00085066"/>
    <w:rsid w:val="000852AD"/>
    <w:rsid w:val="00085440"/>
    <w:rsid w:val="000858B3"/>
    <w:rsid w:val="00085A22"/>
    <w:rsid w:val="00085A9E"/>
    <w:rsid w:val="00085E67"/>
    <w:rsid w:val="00085EE1"/>
    <w:rsid w:val="00086134"/>
    <w:rsid w:val="0008622B"/>
    <w:rsid w:val="00086895"/>
    <w:rsid w:val="000868DE"/>
    <w:rsid w:val="00086E11"/>
    <w:rsid w:val="000873B1"/>
    <w:rsid w:val="00087EC1"/>
    <w:rsid w:val="00090B6A"/>
    <w:rsid w:val="00090C46"/>
    <w:rsid w:val="00090D7F"/>
    <w:rsid w:val="000911DB"/>
    <w:rsid w:val="00091559"/>
    <w:rsid w:val="00091677"/>
    <w:rsid w:val="00091961"/>
    <w:rsid w:val="00091CA1"/>
    <w:rsid w:val="0009249F"/>
    <w:rsid w:val="00092E5E"/>
    <w:rsid w:val="00094206"/>
    <w:rsid w:val="0009458D"/>
    <w:rsid w:val="000948F6"/>
    <w:rsid w:val="00094AA9"/>
    <w:rsid w:val="00094CD0"/>
    <w:rsid w:val="00094EAE"/>
    <w:rsid w:val="00094F0D"/>
    <w:rsid w:val="00095177"/>
    <w:rsid w:val="000952B0"/>
    <w:rsid w:val="00095747"/>
    <w:rsid w:val="00095A99"/>
    <w:rsid w:val="00095AD9"/>
    <w:rsid w:val="00095D81"/>
    <w:rsid w:val="00095EAA"/>
    <w:rsid w:val="00096045"/>
    <w:rsid w:val="000962F6"/>
    <w:rsid w:val="000965F2"/>
    <w:rsid w:val="00096AFF"/>
    <w:rsid w:val="00096DD0"/>
    <w:rsid w:val="0009734E"/>
    <w:rsid w:val="000975D4"/>
    <w:rsid w:val="000978DD"/>
    <w:rsid w:val="00097FA0"/>
    <w:rsid w:val="000A02D7"/>
    <w:rsid w:val="000A0A25"/>
    <w:rsid w:val="000A0E2A"/>
    <w:rsid w:val="000A0E46"/>
    <w:rsid w:val="000A17D0"/>
    <w:rsid w:val="000A1BF2"/>
    <w:rsid w:val="000A22F2"/>
    <w:rsid w:val="000A273D"/>
    <w:rsid w:val="000A289D"/>
    <w:rsid w:val="000A28A5"/>
    <w:rsid w:val="000A28D8"/>
    <w:rsid w:val="000A2975"/>
    <w:rsid w:val="000A2A1D"/>
    <w:rsid w:val="000A2A28"/>
    <w:rsid w:val="000A2BFC"/>
    <w:rsid w:val="000A2D7A"/>
    <w:rsid w:val="000A337E"/>
    <w:rsid w:val="000A3873"/>
    <w:rsid w:val="000A38B5"/>
    <w:rsid w:val="000A38DA"/>
    <w:rsid w:val="000A3A1F"/>
    <w:rsid w:val="000A3AA1"/>
    <w:rsid w:val="000A3EC6"/>
    <w:rsid w:val="000A3F9D"/>
    <w:rsid w:val="000A44C9"/>
    <w:rsid w:val="000A4E70"/>
    <w:rsid w:val="000A5207"/>
    <w:rsid w:val="000A54E3"/>
    <w:rsid w:val="000A551A"/>
    <w:rsid w:val="000A553A"/>
    <w:rsid w:val="000A64BA"/>
    <w:rsid w:val="000A654A"/>
    <w:rsid w:val="000A663C"/>
    <w:rsid w:val="000A6C61"/>
    <w:rsid w:val="000A75E4"/>
    <w:rsid w:val="000A7735"/>
    <w:rsid w:val="000B00F1"/>
    <w:rsid w:val="000B0392"/>
    <w:rsid w:val="000B0447"/>
    <w:rsid w:val="000B05E5"/>
    <w:rsid w:val="000B0A68"/>
    <w:rsid w:val="000B0C5C"/>
    <w:rsid w:val="000B1168"/>
    <w:rsid w:val="000B188C"/>
    <w:rsid w:val="000B1ABF"/>
    <w:rsid w:val="000B1B35"/>
    <w:rsid w:val="000B1CCB"/>
    <w:rsid w:val="000B1E6D"/>
    <w:rsid w:val="000B219B"/>
    <w:rsid w:val="000B2628"/>
    <w:rsid w:val="000B26D5"/>
    <w:rsid w:val="000B2730"/>
    <w:rsid w:val="000B276A"/>
    <w:rsid w:val="000B2CC1"/>
    <w:rsid w:val="000B3146"/>
    <w:rsid w:val="000B3269"/>
    <w:rsid w:val="000B3326"/>
    <w:rsid w:val="000B34EA"/>
    <w:rsid w:val="000B35B9"/>
    <w:rsid w:val="000B3A94"/>
    <w:rsid w:val="000B3E2B"/>
    <w:rsid w:val="000B4016"/>
    <w:rsid w:val="000B430A"/>
    <w:rsid w:val="000B44FB"/>
    <w:rsid w:val="000B48A1"/>
    <w:rsid w:val="000B4D36"/>
    <w:rsid w:val="000B5436"/>
    <w:rsid w:val="000B55B0"/>
    <w:rsid w:val="000B5744"/>
    <w:rsid w:val="000B5D25"/>
    <w:rsid w:val="000B5FD8"/>
    <w:rsid w:val="000B6541"/>
    <w:rsid w:val="000B6C87"/>
    <w:rsid w:val="000B6CE2"/>
    <w:rsid w:val="000B6E14"/>
    <w:rsid w:val="000B7143"/>
    <w:rsid w:val="000B763C"/>
    <w:rsid w:val="000B780C"/>
    <w:rsid w:val="000B78ED"/>
    <w:rsid w:val="000C01F5"/>
    <w:rsid w:val="000C071A"/>
    <w:rsid w:val="000C0794"/>
    <w:rsid w:val="000C080C"/>
    <w:rsid w:val="000C0A18"/>
    <w:rsid w:val="000C0C99"/>
    <w:rsid w:val="000C1A60"/>
    <w:rsid w:val="000C1F0D"/>
    <w:rsid w:val="000C2153"/>
    <w:rsid w:val="000C2AAB"/>
    <w:rsid w:val="000C2C43"/>
    <w:rsid w:val="000C2CAC"/>
    <w:rsid w:val="000C2D62"/>
    <w:rsid w:val="000C2FAD"/>
    <w:rsid w:val="000C3205"/>
    <w:rsid w:val="000C3394"/>
    <w:rsid w:val="000C3450"/>
    <w:rsid w:val="000C3676"/>
    <w:rsid w:val="000C3934"/>
    <w:rsid w:val="000C3F44"/>
    <w:rsid w:val="000C3FB4"/>
    <w:rsid w:val="000C40C1"/>
    <w:rsid w:val="000C4383"/>
    <w:rsid w:val="000C44D7"/>
    <w:rsid w:val="000C476B"/>
    <w:rsid w:val="000C4A3B"/>
    <w:rsid w:val="000C4E53"/>
    <w:rsid w:val="000C51AF"/>
    <w:rsid w:val="000C55CE"/>
    <w:rsid w:val="000C5672"/>
    <w:rsid w:val="000C59A3"/>
    <w:rsid w:val="000C5EB1"/>
    <w:rsid w:val="000C607B"/>
    <w:rsid w:val="000C64CB"/>
    <w:rsid w:val="000C6510"/>
    <w:rsid w:val="000C6838"/>
    <w:rsid w:val="000C6D2A"/>
    <w:rsid w:val="000C6E3E"/>
    <w:rsid w:val="000C7660"/>
    <w:rsid w:val="000C780B"/>
    <w:rsid w:val="000C7880"/>
    <w:rsid w:val="000C7D00"/>
    <w:rsid w:val="000D001E"/>
    <w:rsid w:val="000D0449"/>
    <w:rsid w:val="000D0D3C"/>
    <w:rsid w:val="000D0D48"/>
    <w:rsid w:val="000D0ECF"/>
    <w:rsid w:val="000D11FB"/>
    <w:rsid w:val="000D18AB"/>
    <w:rsid w:val="000D1A36"/>
    <w:rsid w:val="000D1ADA"/>
    <w:rsid w:val="000D1BF5"/>
    <w:rsid w:val="000D1DC2"/>
    <w:rsid w:val="000D21DC"/>
    <w:rsid w:val="000D234B"/>
    <w:rsid w:val="000D2583"/>
    <w:rsid w:val="000D2A8D"/>
    <w:rsid w:val="000D2D2D"/>
    <w:rsid w:val="000D341A"/>
    <w:rsid w:val="000D3BF5"/>
    <w:rsid w:val="000D3C5E"/>
    <w:rsid w:val="000D3F97"/>
    <w:rsid w:val="000D409B"/>
    <w:rsid w:val="000D418B"/>
    <w:rsid w:val="000D4322"/>
    <w:rsid w:val="000D45C0"/>
    <w:rsid w:val="000D4600"/>
    <w:rsid w:val="000D4853"/>
    <w:rsid w:val="000D4AC1"/>
    <w:rsid w:val="000D4CE9"/>
    <w:rsid w:val="000D4FB1"/>
    <w:rsid w:val="000D5064"/>
    <w:rsid w:val="000D5206"/>
    <w:rsid w:val="000D5342"/>
    <w:rsid w:val="000D540A"/>
    <w:rsid w:val="000D5422"/>
    <w:rsid w:val="000D58D0"/>
    <w:rsid w:val="000D608D"/>
    <w:rsid w:val="000D638D"/>
    <w:rsid w:val="000D63ED"/>
    <w:rsid w:val="000D66DE"/>
    <w:rsid w:val="000D6A04"/>
    <w:rsid w:val="000D73EB"/>
    <w:rsid w:val="000D7411"/>
    <w:rsid w:val="000D7AE4"/>
    <w:rsid w:val="000E0536"/>
    <w:rsid w:val="000E0ABA"/>
    <w:rsid w:val="000E0ECD"/>
    <w:rsid w:val="000E145C"/>
    <w:rsid w:val="000E15EB"/>
    <w:rsid w:val="000E188F"/>
    <w:rsid w:val="000E19E8"/>
    <w:rsid w:val="000E1E9D"/>
    <w:rsid w:val="000E1EA8"/>
    <w:rsid w:val="000E2540"/>
    <w:rsid w:val="000E2ABE"/>
    <w:rsid w:val="000E3027"/>
    <w:rsid w:val="000E32C5"/>
    <w:rsid w:val="000E341A"/>
    <w:rsid w:val="000E34C8"/>
    <w:rsid w:val="000E35F2"/>
    <w:rsid w:val="000E3BB4"/>
    <w:rsid w:val="000E40AE"/>
    <w:rsid w:val="000E46F1"/>
    <w:rsid w:val="000E4A12"/>
    <w:rsid w:val="000E4B58"/>
    <w:rsid w:val="000E4C5F"/>
    <w:rsid w:val="000E4D1E"/>
    <w:rsid w:val="000E4D9F"/>
    <w:rsid w:val="000E4ED1"/>
    <w:rsid w:val="000E4FE5"/>
    <w:rsid w:val="000E524B"/>
    <w:rsid w:val="000E535E"/>
    <w:rsid w:val="000E54DA"/>
    <w:rsid w:val="000E5865"/>
    <w:rsid w:val="000E587F"/>
    <w:rsid w:val="000E64AF"/>
    <w:rsid w:val="000E79A0"/>
    <w:rsid w:val="000E7A80"/>
    <w:rsid w:val="000F0214"/>
    <w:rsid w:val="000F064A"/>
    <w:rsid w:val="000F08B1"/>
    <w:rsid w:val="000F08FB"/>
    <w:rsid w:val="000F0DD9"/>
    <w:rsid w:val="000F100F"/>
    <w:rsid w:val="000F18E5"/>
    <w:rsid w:val="000F1941"/>
    <w:rsid w:val="000F1C74"/>
    <w:rsid w:val="000F247E"/>
    <w:rsid w:val="000F26D3"/>
    <w:rsid w:val="000F2758"/>
    <w:rsid w:val="000F27C9"/>
    <w:rsid w:val="000F2B57"/>
    <w:rsid w:val="000F2B7F"/>
    <w:rsid w:val="000F2BC7"/>
    <w:rsid w:val="000F3426"/>
    <w:rsid w:val="000F3529"/>
    <w:rsid w:val="000F3801"/>
    <w:rsid w:val="000F39AD"/>
    <w:rsid w:val="000F3A33"/>
    <w:rsid w:val="000F3EAD"/>
    <w:rsid w:val="000F3EFE"/>
    <w:rsid w:val="000F4E1A"/>
    <w:rsid w:val="000F5071"/>
    <w:rsid w:val="000F543B"/>
    <w:rsid w:val="000F5759"/>
    <w:rsid w:val="000F5F26"/>
    <w:rsid w:val="000F6316"/>
    <w:rsid w:val="000F6343"/>
    <w:rsid w:val="000F6883"/>
    <w:rsid w:val="000F6A6F"/>
    <w:rsid w:val="000F6E5F"/>
    <w:rsid w:val="000F7048"/>
    <w:rsid w:val="000F7161"/>
    <w:rsid w:val="000F754F"/>
    <w:rsid w:val="000F75BA"/>
    <w:rsid w:val="000F771E"/>
    <w:rsid w:val="000F7844"/>
    <w:rsid w:val="000F79AC"/>
    <w:rsid w:val="000F79DA"/>
    <w:rsid w:val="000F7A5D"/>
    <w:rsid w:val="000F7D9E"/>
    <w:rsid w:val="000F7EED"/>
    <w:rsid w:val="00100055"/>
    <w:rsid w:val="00100105"/>
    <w:rsid w:val="001003EC"/>
    <w:rsid w:val="00100537"/>
    <w:rsid w:val="00100AFC"/>
    <w:rsid w:val="00100D5A"/>
    <w:rsid w:val="001015E0"/>
    <w:rsid w:val="001023A9"/>
    <w:rsid w:val="001027FC"/>
    <w:rsid w:val="00102ACF"/>
    <w:rsid w:val="00102BFC"/>
    <w:rsid w:val="00103288"/>
    <w:rsid w:val="0010329B"/>
    <w:rsid w:val="00103625"/>
    <w:rsid w:val="0010399C"/>
    <w:rsid w:val="00103B74"/>
    <w:rsid w:val="00103BC2"/>
    <w:rsid w:val="0010403A"/>
    <w:rsid w:val="0010405B"/>
    <w:rsid w:val="0010406D"/>
    <w:rsid w:val="0010408E"/>
    <w:rsid w:val="00104230"/>
    <w:rsid w:val="0010441C"/>
    <w:rsid w:val="001049AC"/>
    <w:rsid w:val="001049BE"/>
    <w:rsid w:val="00104E61"/>
    <w:rsid w:val="00105154"/>
    <w:rsid w:val="001053A8"/>
    <w:rsid w:val="00105BF1"/>
    <w:rsid w:val="001060B8"/>
    <w:rsid w:val="00106224"/>
    <w:rsid w:val="00106360"/>
    <w:rsid w:val="0010660D"/>
    <w:rsid w:val="00106720"/>
    <w:rsid w:val="00106744"/>
    <w:rsid w:val="0010699E"/>
    <w:rsid w:val="00106B1C"/>
    <w:rsid w:val="00106B5B"/>
    <w:rsid w:val="00106C6C"/>
    <w:rsid w:val="001070ED"/>
    <w:rsid w:val="00107A46"/>
    <w:rsid w:val="00107B61"/>
    <w:rsid w:val="00107BD3"/>
    <w:rsid w:val="00110486"/>
    <w:rsid w:val="001107D4"/>
    <w:rsid w:val="0011088F"/>
    <w:rsid w:val="00110980"/>
    <w:rsid w:val="00110CB3"/>
    <w:rsid w:val="00111639"/>
    <w:rsid w:val="00111B08"/>
    <w:rsid w:val="00111CE5"/>
    <w:rsid w:val="00111EFF"/>
    <w:rsid w:val="00111F1D"/>
    <w:rsid w:val="001123ED"/>
    <w:rsid w:val="0011242A"/>
    <w:rsid w:val="0011263C"/>
    <w:rsid w:val="00112937"/>
    <w:rsid w:val="00112FE9"/>
    <w:rsid w:val="0011381D"/>
    <w:rsid w:val="00113B5F"/>
    <w:rsid w:val="00113C56"/>
    <w:rsid w:val="00113F19"/>
    <w:rsid w:val="00113F1C"/>
    <w:rsid w:val="00113F60"/>
    <w:rsid w:val="00113FF0"/>
    <w:rsid w:val="00114595"/>
    <w:rsid w:val="00114AEB"/>
    <w:rsid w:val="00114B02"/>
    <w:rsid w:val="00115086"/>
    <w:rsid w:val="00115172"/>
    <w:rsid w:val="00115820"/>
    <w:rsid w:val="001158E3"/>
    <w:rsid w:val="0011597A"/>
    <w:rsid w:val="00115C16"/>
    <w:rsid w:val="00116001"/>
    <w:rsid w:val="00116D51"/>
    <w:rsid w:val="0011742A"/>
    <w:rsid w:val="001177EB"/>
    <w:rsid w:val="00117D88"/>
    <w:rsid w:val="00117FE7"/>
    <w:rsid w:val="001200BB"/>
    <w:rsid w:val="0012048A"/>
    <w:rsid w:val="001205C4"/>
    <w:rsid w:val="0012070E"/>
    <w:rsid w:val="00120F73"/>
    <w:rsid w:val="00120FD5"/>
    <w:rsid w:val="0012125C"/>
    <w:rsid w:val="00121AD2"/>
    <w:rsid w:val="00121D3D"/>
    <w:rsid w:val="00121F1A"/>
    <w:rsid w:val="0012256B"/>
    <w:rsid w:val="00122902"/>
    <w:rsid w:val="00122A3D"/>
    <w:rsid w:val="00122DD4"/>
    <w:rsid w:val="00122ECE"/>
    <w:rsid w:val="00123721"/>
    <w:rsid w:val="00123866"/>
    <w:rsid w:val="00123ACD"/>
    <w:rsid w:val="00123B53"/>
    <w:rsid w:val="00123C5F"/>
    <w:rsid w:val="001245D7"/>
    <w:rsid w:val="00124603"/>
    <w:rsid w:val="00124A24"/>
    <w:rsid w:val="00125992"/>
    <w:rsid w:val="00126209"/>
    <w:rsid w:val="0012652D"/>
    <w:rsid w:val="00126EB6"/>
    <w:rsid w:val="00126EE5"/>
    <w:rsid w:val="00126F71"/>
    <w:rsid w:val="0012742F"/>
    <w:rsid w:val="001277AF"/>
    <w:rsid w:val="00127FCA"/>
    <w:rsid w:val="00130467"/>
    <w:rsid w:val="0013070C"/>
    <w:rsid w:val="00130C35"/>
    <w:rsid w:val="00130F96"/>
    <w:rsid w:val="0013139E"/>
    <w:rsid w:val="001317F4"/>
    <w:rsid w:val="00131808"/>
    <w:rsid w:val="00131F7C"/>
    <w:rsid w:val="00131FBE"/>
    <w:rsid w:val="00132080"/>
    <w:rsid w:val="00132197"/>
    <w:rsid w:val="00132833"/>
    <w:rsid w:val="00132F53"/>
    <w:rsid w:val="00133078"/>
    <w:rsid w:val="00133297"/>
    <w:rsid w:val="0013392B"/>
    <w:rsid w:val="00133951"/>
    <w:rsid w:val="00133E2F"/>
    <w:rsid w:val="00133E77"/>
    <w:rsid w:val="00134014"/>
    <w:rsid w:val="001341F9"/>
    <w:rsid w:val="001343BA"/>
    <w:rsid w:val="00134774"/>
    <w:rsid w:val="00134B7D"/>
    <w:rsid w:val="00134D81"/>
    <w:rsid w:val="00135491"/>
    <w:rsid w:val="00135497"/>
    <w:rsid w:val="00135B07"/>
    <w:rsid w:val="001360F1"/>
    <w:rsid w:val="00136285"/>
    <w:rsid w:val="001366A1"/>
    <w:rsid w:val="001366A4"/>
    <w:rsid w:val="001368D0"/>
    <w:rsid w:val="00136C57"/>
    <w:rsid w:val="00136F2D"/>
    <w:rsid w:val="00137041"/>
    <w:rsid w:val="001371DD"/>
    <w:rsid w:val="0013727B"/>
    <w:rsid w:val="001372C9"/>
    <w:rsid w:val="0013796F"/>
    <w:rsid w:val="00137AA1"/>
    <w:rsid w:val="00137DC8"/>
    <w:rsid w:val="00137EB6"/>
    <w:rsid w:val="00137FC2"/>
    <w:rsid w:val="00137FD9"/>
    <w:rsid w:val="00140074"/>
    <w:rsid w:val="00140247"/>
    <w:rsid w:val="00140756"/>
    <w:rsid w:val="0014075F"/>
    <w:rsid w:val="0014090B"/>
    <w:rsid w:val="00140A2E"/>
    <w:rsid w:val="00140BC1"/>
    <w:rsid w:val="00140CD7"/>
    <w:rsid w:val="00140D98"/>
    <w:rsid w:val="00141208"/>
    <w:rsid w:val="00141669"/>
    <w:rsid w:val="0014196E"/>
    <w:rsid w:val="00141A78"/>
    <w:rsid w:val="00141AE0"/>
    <w:rsid w:val="00141CBC"/>
    <w:rsid w:val="001420D2"/>
    <w:rsid w:val="0014213F"/>
    <w:rsid w:val="0014244D"/>
    <w:rsid w:val="001426DA"/>
    <w:rsid w:val="00142D4C"/>
    <w:rsid w:val="00142FF8"/>
    <w:rsid w:val="00143040"/>
    <w:rsid w:val="0014318F"/>
    <w:rsid w:val="001431F2"/>
    <w:rsid w:val="00143829"/>
    <w:rsid w:val="00143CCB"/>
    <w:rsid w:val="00143DD8"/>
    <w:rsid w:val="00143FCF"/>
    <w:rsid w:val="00144087"/>
    <w:rsid w:val="00144279"/>
    <w:rsid w:val="001447D5"/>
    <w:rsid w:val="00144B93"/>
    <w:rsid w:val="00144ED3"/>
    <w:rsid w:val="00144FD1"/>
    <w:rsid w:val="00145421"/>
    <w:rsid w:val="001456A8"/>
    <w:rsid w:val="001459F3"/>
    <w:rsid w:val="00145FE3"/>
    <w:rsid w:val="00146E5B"/>
    <w:rsid w:val="0014722C"/>
    <w:rsid w:val="001476E0"/>
    <w:rsid w:val="001477B0"/>
    <w:rsid w:val="00147EF7"/>
    <w:rsid w:val="00147EFE"/>
    <w:rsid w:val="001500D6"/>
    <w:rsid w:val="00150126"/>
    <w:rsid w:val="00150A0A"/>
    <w:rsid w:val="00150A11"/>
    <w:rsid w:val="00150A52"/>
    <w:rsid w:val="00150CB2"/>
    <w:rsid w:val="00151223"/>
    <w:rsid w:val="0015172F"/>
    <w:rsid w:val="00151821"/>
    <w:rsid w:val="00151B4C"/>
    <w:rsid w:val="00153086"/>
    <w:rsid w:val="001536B7"/>
    <w:rsid w:val="00153705"/>
    <w:rsid w:val="00153754"/>
    <w:rsid w:val="00153B88"/>
    <w:rsid w:val="00153C4F"/>
    <w:rsid w:val="001544EB"/>
    <w:rsid w:val="00154B47"/>
    <w:rsid w:val="00154E67"/>
    <w:rsid w:val="00155462"/>
    <w:rsid w:val="0015552F"/>
    <w:rsid w:val="00155C80"/>
    <w:rsid w:val="00155F4C"/>
    <w:rsid w:val="0015606D"/>
    <w:rsid w:val="00156231"/>
    <w:rsid w:val="001565B9"/>
    <w:rsid w:val="00156BBE"/>
    <w:rsid w:val="00156D2E"/>
    <w:rsid w:val="0015723E"/>
    <w:rsid w:val="0015735C"/>
    <w:rsid w:val="0015746B"/>
    <w:rsid w:val="00157984"/>
    <w:rsid w:val="001579C5"/>
    <w:rsid w:val="00157B0A"/>
    <w:rsid w:val="00157E2F"/>
    <w:rsid w:val="00160E6B"/>
    <w:rsid w:val="00160F0F"/>
    <w:rsid w:val="00161715"/>
    <w:rsid w:val="00161A3D"/>
    <w:rsid w:val="001620BB"/>
    <w:rsid w:val="00162464"/>
    <w:rsid w:val="0016283F"/>
    <w:rsid w:val="00162850"/>
    <w:rsid w:val="00162ADF"/>
    <w:rsid w:val="00162C5C"/>
    <w:rsid w:val="00162C71"/>
    <w:rsid w:val="00162CE4"/>
    <w:rsid w:val="00162D89"/>
    <w:rsid w:val="00162E00"/>
    <w:rsid w:val="0016348F"/>
    <w:rsid w:val="0016370C"/>
    <w:rsid w:val="001638CF"/>
    <w:rsid w:val="001638D4"/>
    <w:rsid w:val="00163F04"/>
    <w:rsid w:val="00163F1D"/>
    <w:rsid w:val="0016404E"/>
    <w:rsid w:val="001641AA"/>
    <w:rsid w:val="00164275"/>
    <w:rsid w:val="001647D8"/>
    <w:rsid w:val="001648A2"/>
    <w:rsid w:val="00164DAD"/>
    <w:rsid w:val="00164E9B"/>
    <w:rsid w:val="001656F2"/>
    <w:rsid w:val="00165F07"/>
    <w:rsid w:val="00166375"/>
    <w:rsid w:val="001663D9"/>
    <w:rsid w:val="001668BF"/>
    <w:rsid w:val="001669E0"/>
    <w:rsid w:val="00166A38"/>
    <w:rsid w:val="00166A93"/>
    <w:rsid w:val="00166B8E"/>
    <w:rsid w:val="00166D89"/>
    <w:rsid w:val="00166DD7"/>
    <w:rsid w:val="00166E59"/>
    <w:rsid w:val="00166F7E"/>
    <w:rsid w:val="00167507"/>
    <w:rsid w:val="001675D1"/>
    <w:rsid w:val="00167C7D"/>
    <w:rsid w:val="00167CF8"/>
    <w:rsid w:val="0017010F"/>
    <w:rsid w:val="00170486"/>
    <w:rsid w:val="00170731"/>
    <w:rsid w:val="0017094F"/>
    <w:rsid w:val="00170A04"/>
    <w:rsid w:val="00170BA4"/>
    <w:rsid w:val="00170DAE"/>
    <w:rsid w:val="00171055"/>
    <w:rsid w:val="00171074"/>
    <w:rsid w:val="0017134C"/>
    <w:rsid w:val="001717FF"/>
    <w:rsid w:val="0017193D"/>
    <w:rsid w:val="00171B29"/>
    <w:rsid w:val="00171C5B"/>
    <w:rsid w:val="00171DB6"/>
    <w:rsid w:val="0017255C"/>
    <w:rsid w:val="001725BC"/>
    <w:rsid w:val="00172BBE"/>
    <w:rsid w:val="00172E91"/>
    <w:rsid w:val="001733E9"/>
    <w:rsid w:val="001735DE"/>
    <w:rsid w:val="0017389B"/>
    <w:rsid w:val="00173ABD"/>
    <w:rsid w:val="00173AFE"/>
    <w:rsid w:val="00174182"/>
    <w:rsid w:val="001742B5"/>
    <w:rsid w:val="001742C1"/>
    <w:rsid w:val="0017450B"/>
    <w:rsid w:val="00174530"/>
    <w:rsid w:val="00174754"/>
    <w:rsid w:val="00174BAE"/>
    <w:rsid w:val="00174FEB"/>
    <w:rsid w:val="00175004"/>
    <w:rsid w:val="001755B7"/>
    <w:rsid w:val="0017596A"/>
    <w:rsid w:val="00175B08"/>
    <w:rsid w:val="00175B9A"/>
    <w:rsid w:val="00175CBB"/>
    <w:rsid w:val="00175D1B"/>
    <w:rsid w:val="00175E7C"/>
    <w:rsid w:val="00175FA5"/>
    <w:rsid w:val="001760B9"/>
    <w:rsid w:val="00176128"/>
    <w:rsid w:val="0017664D"/>
    <w:rsid w:val="00176A39"/>
    <w:rsid w:val="00176C4F"/>
    <w:rsid w:val="00176E06"/>
    <w:rsid w:val="00177497"/>
    <w:rsid w:val="001778B4"/>
    <w:rsid w:val="00177C29"/>
    <w:rsid w:val="00177F5D"/>
    <w:rsid w:val="001802E9"/>
    <w:rsid w:val="0018066D"/>
    <w:rsid w:val="00180D16"/>
    <w:rsid w:val="00180F86"/>
    <w:rsid w:val="001811C1"/>
    <w:rsid w:val="0018165C"/>
    <w:rsid w:val="001816AE"/>
    <w:rsid w:val="00181E2B"/>
    <w:rsid w:val="00181E45"/>
    <w:rsid w:val="00182699"/>
    <w:rsid w:val="001826BF"/>
    <w:rsid w:val="001829F8"/>
    <w:rsid w:val="00182D50"/>
    <w:rsid w:val="0018342C"/>
    <w:rsid w:val="0018377D"/>
    <w:rsid w:val="00183790"/>
    <w:rsid w:val="0018394E"/>
    <w:rsid w:val="00183AAD"/>
    <w:rsid w:val="0018400E"/>
    <w:rsid w:val="00184E28"/>
    <w:rsid w:val="00184EFE"/>
    <w:rsid w:val="001850C7"/>
    <w:rsid w:val="00185144"/>
    <w:rsid w:val="00185820"/>
    <w:rsid w:val="00185AE1"/>
    <w:rsid w:val="00185ED7"/>
    <w:rsid w:val="00186379"/>
    <w:rsid w:val="001865BA"/>
    <w:rsid w:val="00186ABD"/>
    <w:rsid w:val="001871A6"/>
    <w:rsid w:val="001876C1"/>
    <w:rsid w:val="00187E92"/>
    <w:rsid w:val="001900CE"/>
    <w:rsid w:val="0019019D"/>
    <w:rsid w:val="001904A6"/>
    <w:rsid w:val="001906D6"/>
    <w:rsid w:val="001907ED"/>
    <w:rsid w:val="001908A2"/>
    <w:rsid w:val="00190B32"/>
    <w:rsid w:val="001910BD"/>
    <w:rsid w:val="0019123A"/>
    <w:rsid w:val="0019146C"/>
    <w:rsid w:val="001915E9"/>
    <w:rsid w:val="00191698"/>
    <w:rsid w:val="00191708"/>
    <w:rsid w:val="00191FE6"/>
    <w:rsid w:val="001920CE"/>
    <w:rsid w:val="00192B95"/>
    <w:rsid w:val="00192CDB"/>
    <w:rsid w:val="00192E7F"/>
    <w:rsid w:val="00192FAA"/>
    <w:rsid w:val="00192FFF"/>
    <w:rsid w:val="00193816"/>
    <w:rsid w:val="00193E72"/>
    <w:rsid w:val="0019411B"/>
    <w:rsid w:val="001947DB"/>
    <w:rsid w:val="0019487E"/>
    <w:rsid w:val="00194C88"/>
    <w:rsid w:val="00195010"/>
    <w:rsid w:val="001952FF"/>
    <w:rsid w:val="001956FA"/>
    <w:rsid w:val="00195704"/>
    <w:rsid w:val="00195941"/>
    <w:rsid w:val="00195AE9"/>
    <w:rsid w:val="00195CF2"/>
    <w:rsid w:val="00195D4F"/>
    <w:rsid w:val="00196063"/>
    <w:rsid w:val="001966BA"/>
    <w:rsid w:val="001969D3"/>
    <w:rsid w:val="00196A49"/>
    <w:rsid w:val="00196AC2"/>
    <w:rsid w:val="00196DAA"/>
    <w:rsid w:val="001970F8"/>
    <w:rsid w:val="001971BB"/>
    <w:rsid w:val="001973D2"/>
    <w:rsid w:val="00197532"/>
    <w:rsid w:val="00197658"/>
    <w:rsid w:val="001976E9"/>
    <w:rsid w:val="00197A27"/>
    <w:rsid w:val="00197B49"/>
    <w:rsid w:val="00197E3A"/>
    <w:rsid w:val="001A02F4"/>
    <w:rsid w:val="001A0A6C"/>
    <w:rsid w:val="001A0BC7"/>
    <w:rsid w:val="001A1041"/>
    <w:rsid w:val="001A110B"/>
    <w:rsid w:val="001A1127"/>
    <w:rsid w:val="001A11F7"/>
    <w:rsid w:val="001A11FC"/>
    <w:rsid w:val="001A1616"/>
    <w:rsid w:val="001A1820"/>
    <w:rsid w:val="001A18E4"/>
    <w:rsid w:val="001A1A4E"/>
    <w:rsid w:val="001A2315"/>
    <w:rsid w:val="001A2317"/>
    <w:rsid w:val="001A25DC"/>
    <w:rsid w:val="001A261D"/>
    <w:rsid w:val="001A2799"/>
    <w:rsid w:val="001A30A7"/>
    <w:rsid w:val="001A357E"/>
    <w:rsid w:val="001A39EB"/>
    <w:rsid w:val="001A3E0E"/>
    <w:rsid w:val="001A461A"/>
    <w:rsid w:val="001A4C5D"/>
    <w:rsid w:val="001A4EE3"/>
    <w:rsid w:val="001A4FE3"/>
    <w:rsid w:val="001A529C"/>
    <w:rsid w:val="001A530A"/>
    <w:rsid w:val="001A57DF"/>
    <w:rsid w:val="001A5831"/>
    <w:rsid w:val="001A5A18"/>
    <w:rsid w:val="001A5D3D"/>
    <w:rsid w:val="001A5DA1"/>
    <w:rsid w:val="001A6196"/>
    <w:rsid w:val="001A65F9"/>
    <w:rsid w:val="001A662F"/>
    <w:rsid w:val="001A6996"/>
    <w:rsid w:val="001A71EA"/>
    <w:rsid w:val="001A7351"/>
    <w:rsid w:val="001A7A59"/>
    <w:rsid w:val="001A7DD7"/>
    <w:rsid w:val="001A7DF6"/>
    <w:rsid w:val="001B049B"/>
    <w:rsid w:val="001B05E0"/>
    <w:rsid w:val="001B0742"/>
    <w:rsid w:val="001B0DEE"/>
    <w:rsid w:val="001B0F62"/>
    <w:rsid w:val="001B128E"/>
    <w:rsid w:val="001B14CC"/>
    <w:rsid w:val="001B1691"/>
    <w:rsid w:val="001B1AEA"/>
    <w:rsid w:val="001B1BC7"/>
    <w:rsid w:val="001B1E90"/>
    <w:rsid w:val="001B27B2"/>
    <w:rsid w:val="001B2884"/>
    <w:rsid w:val="001B2DC7"/>
    <w:rsid w:val="001B2E65"/>
    <w:rsid w:val="001B31BC"/>
    <w:rsid w:val="001B3282"/>
    <w:rsid w:val="001B3319"/>
    <w:rsid w:val="001B332E"/>
    <w:rsid w:val="001B39D7"/>
    <w:rsid w:val="001B3F84"/>
    <w:rsid w:val="001B47EB"/>
    <w:rsid w:val="001B4F42"/>
    <w:rsid w:val="001B5065"/>
    <w:rsid w:val="001B53CE"/>
    <w:rsid w:val="001B5E84"/>
    <w:rsid w:val="001B624F"/>
    <w:rsid w:val="001B628C"/>
    <w:rsid w:val="001B6647"/>
    <w:rsid w:val="001B671D"/>
    <w:rsid w:val="001B6A08"/>
    <w:rsid w:val="001B70A6"/>
    <w:rsid w:val="001B73AA"/>
    <w:rsid w:val="001B776B"/>
    <w:rsid w:val="001B7B2E"/>
    <w:rsid w:val="001B7BCA"/>
    <w:rsid w:val="001B7CBF"/>
    <w:rsid w:val="001B7F30"/>
    <w:rsid w:val="001C08CB"/>
    <w:rsid w:val="001C130E"/>
    <w:rsid w:val="001C1576"/>
    <w:rsid w:val="001C1820"/>
    <w:rsid w:val="001C184B"/>
    <w:rsid w:val="001C18D3"/>
    <w:rsid w:val="001C19B6"/>
    <w:rsid w:val="001C1F90"/>
    <w:rsid w:val="001C226C"/>
    <w:rsid w:val="001C25E0"/>
    <w:rsid w:val="001C2935"/>
    <w:rsid w:val="001C2B6E"/>
    <w:rsid w:val="001C2BF3"/>
    <w:rsid w:val="001C2C67"/>
    <w:rsid w:val="001C2CD3"/>
    <w:rsid w:val="001C2DCB"/>
    <w:rsid w:val="001C3021"/>
    <w:rsid w:val="001C3370"/>
    <w:rsid w:val="001C39B3"/>
    <w:rsid w:val="001C3B79"/>
    <w:rsid w:val="001C3E9D"/>
    <w:rsid w:val="001C4497"/>
    <w:rsid w:val="001C4640"/>
    <w:rsid w:val="001C488B"/>
    <w:rsid w:val="001C4A28"/>
    <w:rsid w:val="001C4CEC"/>
    <w:rsid w:val="001C4DC4"/>
    <w:rsid w:val="001C513A"/>
    <w:rsid w:val="001C5350"/>
    <w:rsid w:val="001C5411"/>
    <w:rsid w:val="001C547B"/>
    <w:rsid w:val="001C55D9"/>
    <w:rsid w:val="001C5A99"/>
    <w:rsid w:val="001C5BD8"/>
    <w:rsid w:val="001C5CBC"/>
    <w:rsid w:val="001C6100"/>
    <w:rsid w:val="001C61FC"/>
    <w:rsid w:val="001C6A80"/>
    <w:rsid w:val="001C6D76"/>
    <w:rsid w:val="001C6E0C"/>
    <w:rsid w:val="001C7054"/>
    <w:rsid w:val="001C7145"/>
    <w:rsid w:val="001C7BA3"/>
    <w:rsid w:val="001C7F9D"/>
    <w:rsid w:val="001D0A00"/>
    <w:rsid w:val="001D11AE"/>
    <w:rsid w:val="001D11F4"/>
    <w:rsid w:val="001D14CD"/>
    <w:rsid w:val="001D165E"/>
    <w:rsid w:val="001D16A9"/>
    <w:rsid w:val="001D1CE6"/>
    <w:rsid w:val="001D2269"/>
    <w:rsid w:val="001D26A9"/>
    <w:rsid w:val="001D276C"/>
    <w:rsid w:val="001D2BB9"/>
    <w:rsid w:val="001D36DB"/>
    <w:rsid w:val="001D39A9"/>
    <w:rsid w:val="001D407C"/>
    <w:rsid w:val="001D41A4"/>
    <w:rsid w:val="001D42C5"/>
    <w:rsid w:val="001D4FE3"/>
    <w:rsid w:val="001D5050"/>
    <w:rsid w:val="001D5170"/>
    <w:rsid w:val="001D525C"/>
    <w:rsid w:val="001D53DE"/>
    <w:rsid w:val="001D5510"/>
    <w:rsid w:val="001D55FF"/>
    <w:rsid w:val="001D5959"/>
    <w:rsid w:val="001D5A75"/>
    <w:rsid w:val="001D62C6"/>
    <w:rsid w:val="001D65E9"/>
    <w:rsid w:val="001D688B"/>
    <w:rsid w:val="001D696C"/>
    <w:rsid w:val="001D6C82"/>
    <w:rsid w:val="001D72C0"/>
    <w:rsid w:val="001D75FF"/>
    <w:rsid w:val="001D7A41"/>
    <w:rsid w:val="001D7AC1"/>
    <w:rsid w:val="001D7D5A"/>
    <w:rsid w:val="001D7FE0"/>
    <w:rsid w:val="001E02C7"/>
    <w:rsid w:val="001E03B2"/>
    <w:rsid w:val="001E0552"/>
    <w:rsid w:val="001E09BB"/>
    <w:rsid w:val="001E0A3E"/>
    <w:rsid w:val="001E0C52"/>
    <w:rsid w:val="001E0D1E"/>
    <w:rsid w:val="001E0E2E"/>
    <w:rsid w:val="001E0F1E"/>
    <w:rsid w:val="001E1393"/>
    <w:rsid w:val="001E17D4"/>
    <w:rsid w:val="001E1976"/>
    <w:rsid w:val="001E1FFF"/>
    <w:rsid w:val="001E237D"/>
    <w:rsid w:val="001E2C07"/>
    <w:rsid w:val="001E2F30"/>
    <w:rsid w:val="001E30AB"/>
    <w:rsid w:val="001E34E0"/>
    <w:rsid w:val="001E3655"/>
    <w:rsid w:val="001E3657"/>
    <w:rsid w:val="001E374C"/>
    <w:rsid w:val="001E388F"/>
    <w:rsid w:val="001E3B0A"/>
    <w:rsid w:val="001E3F8C"/>
    <w:rsid w:val="001E41F1"/>
    <w:rsid w:val="001E42DA"/>
    <w:rsid w:val="001E4892"/>
    <w:rsid w:val="001E491A"/>
    <w:rsid w:val="001E4B1D"/>
    <w:rsid w:val="001E4F38"/>
    <w:rsid w:val="001E50C4"/>
    <w:rsid w:val="001E50ED"/>
    <w:rsid w:val="001E52DD"/>
    <w:rsid w:val="001E584E"/>
    <w:rsid w:val="001E5909"/>
    <w:rsid w:val="001E598E"/>
    <w:rsid w:val="001E59A2"/>
    <w:rsid w:val="001E5AC7"/>
    <w:rsid w:val="001E5FFD"/>
    <w:rsid w:val="001E6040"/>
    <w:rsid w:val="001E642A"/>
    <w:rsid w:val="001E6580"/>
    <w:rsid w:val="001E6678"/>
    <w:rsid w:val="001E6888"/>
    <w:rsid w:val="001E6B97"/>
    <w:rsid w:val="001E6C24"/>
    <w:rsid w:val="001E71CD"/>
    <w:rsid w:val="001E71D4"/>
    <w:rsid w:val="001E7BC4"/>
    <w:rsid w:val="001E7D6C"/>
    <w:rsid w:val="001E7FA8"/>
    <w:rsid w:val="001E7FF3"/>
    <w:rsid w:val="001F02AF"/>
    <w:rsid w:val="001F0413"/>
    <w:rsid w:val="001F0487"/>
    <w:rsid w:val="001F07FD"/>
    <w:rsid w:val="001F09D6"/>
    <w:rsid w:val="001F0A7B"/>
    <w:rsid w:val="001F0AAF"/>
    <w:rsid w:val="001F0C7F"/>
    <w:rsid w:val="001F10DD"/>
    <w:rsid w:val="001F1459"/>
    <w:rsid w:val="001F166E"/>
    <w:rsid w:val="001F2058"/>
    <w:rsid w:val="001F21AC"/>
    <w:rsid w:val="001F2A97"/>
    <w:rsid w:val="001F2C32"/>
    <w:rsid w:val="001F3036"/>
    <w:rsid w:val="001F32F2"/>
    <w:rsid w:val="001F344B"/>
    <w:rsid w:val="001F3923"/>
    <w:rsid w:val="001F3C2B"/>
    <w:rsid w:val="001F3E91"/>
    <w:rsid w:val="001F3F77"/>
    <w:rsid w:val="001F42C0"/>
    <w:rsid w:val="001F45B7"/>
    <w:rsid w:val="001F461F"/>
    <w:rsid w:val="001F4746"/>
    <w:rsid w:val="001F4B67"/>
    <w:rsid w:val="001F4CCF"/>
    <w:rsid w:val="001F4D35"/>
    <w:rsid w:val="001F4E6D"/>
    <w:rsid w:val="001F4EBC"/>
    <w:rsid w:val="001F5209"/>
    <w:rsid w:val="001F54C4"/>
    <w:rsid w:val="001F5C3F"/>
    <w:rsid w:val="001F5C69"/>
    <w:rsid w:val="001F62F6"/>
    <w:rsid w:val="001F6941"/>
    <w:rsid w:val="001F69B0"/>
    <w:rsid w:val="001F6AB4"/>
    <w:rsid w:val="001F6FF4"/>
    <w:rsid w:val="001F7003"/>
    <w:rsid w:val="001F77A1"/>
    <w:rsid w:val="001F784C"/>
    <w:rsid w:val="00200405"/>
    <w:rsid w:val="002008B7"/>
    <w:rsid w:val="002009B9"/>
    <w:rsid w:val="002009E2"/>
    <w:rsid w:val="00200DCB"/>
    <w:rsid w:val="00200DEB"/>
    <w:rsid w:val="0020100D"/>
    <w:rsid w:val="002013E2"/>
    <w:rsid w:val="002016B7"/>
    <w:rsid w:val="00201753"/>
    <w:rsid w:val="0020182D"/>
    <w:rsid w:val="002019BE"/>
    <w:rsid w:val="00201AF9"/>
    <w:rsid w:val="00201E1D"/>
    <w:rsid w:val="00201E82"/>
    <w:rsid w:val="00202083"/>
    <w:rsid w:val="0020211A"/>
    <w:rsid w:val="002021BC"/>
    <w:rsid w:val="0020224B"/>
    <w:rsid w:val="00202526"/>
    <w:rsid w:val="00203084"/>
    <w:rsid w:val="0020385E"/>
    <w:rsid w:val="0020406F"/>
    <w:rsid w:val="00204508"/>
    <w:rsid w:val="00204943"/>
    <w:rsid w:val="00204C75"/>
    <w:rsid w:val="002053FC"/>
    <w:rsid w:val="00205801"/>
    <w:rsid w:val="00205885"/>
    <w:rsid w:val="002060DA"/>
    <w:rsid w:val="0020616D"/>
    <w:rsid w:val="0020623C"/>
    <w:rsid w:val="00206829"/>
    <w:rsid w:val="00206A66"/>
    <w:rsid w:val="00206CAA"/>
    <w:rsid w:val="00207107"/>
    <w:rsid w:val="002071B4"/>
    <w:rsid w:val="00207274"/>
    <w:rsid w:val="002072F6"/>
    <w:rsid w:val="002078D9"/>
    <w:rsid w:val="00207CB5"/>
    <w:rsid w:val="00207EFC"/>
    <w:rsid w:val="002101F2"/>
    <w:rsid w:val="00210416"/>
    <w:rsid w:val="002109F1"/>
    <w:rsid w:val="00210F6D"/>
    <w:rsid w:val="0021109D"/>
    <w:rsid w:val="0021114A"/>
    <w:rsid w:val="0021131C"/>
    <w:rsid w:val="0021145D"/>
    <w:rsid w:val="002115EE"/>
    <w:rsid w:val="0021193E"/>
    <w:rsid w:val="00211960"/>
    <w:rsid w:val="00211E9D"/>
    <w:rsid w:val="00212198"/>
    <w:rsid w:val="00212464"/>
    <w:rsid w:val="00212A6F"/>
    <w:rsid w:val="00212BD8"/>
    <w:rsid w:val="00212F65"/>
    <w:rsid w:val="0021334A"/>
    <w:rsid w:val="00213BBB"/>
    <w:rsid w:val="00213F0F"/>
    <w:rsid w:val="002145E9"/>
    <w:rsid w:val="0021467E"/>
    <w:rsid w:val="00214B74"/>
    <w:rsid w:val="00214BB5"/>
    <w:rsid w:val="0021593E"/>
    <w:rsid w:val="00215ADB"/>
    <w:rsid w:val="00215BFA"/>
    <w:rsid w:val="00215FCB"/>
    <w:rsid w:val="00216249"/>
    <w:rsid w:val="002165CF"/>
    <w:rsid w:val="0021692C"/>
    <w:rsid w:val="00216B7A"/>
    <w:rsid w:val="00216C07"/>
    <w:rsid w:val="002173FF"/>
    <w:rsid w:val="00217607"/>
    <w:rsid w:val="00217B17"/>
    <w:rsid w:val="002203E9"/>
    <w:rsid w:val="00220740"/>
    <w:rsid w:val="00220909"/>
    <w:rsid w:val="00220AC1"/>
    <w:rsid w:val="00220C1C"/>
    <w:rsid w:val="00221163"/>
    <w:rsid w:val="0022138A"/>
    <w:rsid w:val="00221598"/>
    <w:rsid w:val="002216DA"/>
    <w:rsid w:val="00221B39"/>
    <w:rsid w:val="0022233B"/>
    <w:rsid w:val="002224C2"/>
    <w:rsid w:val="00222781"/>
    <w:rsid w:val="00222A7D"/>
    <w:rsid w:val="00222F9A"/>
    <w:rsid w:val="002230A5"/>
    <w:rsid w:val="00223671"/>
    <w:rsid w:val="002236B6"/>
    <w:rsid w:val="002237DB"/>
    <w:rsid w:val="00223A19"/>
    <w:rsid w:val="00223C6D"/>
    <w:rsid w:val="00223E2C"/>
    <w:rsid w:val="00223EDE"/>
    <w:rsid w:val="00224173"/>
    <w:rsid w:val="002244B5"/>
    <w:rsid w:val="00224992"/>
    <w:rsid w:val="00224F4D"/>
    <w:rsid w:val="00224FF4"/>
    <w:rsid w:val="00225028"/>
    <w:rsid w:val="00225072"/>
    <w:rsid w:val="002252D8"/>
    <w:rsid w:val="00225E55"/>
    <w:rsid w:val="002264B8"/>
    <w:rsid w:val="00226589"/>
    <w:rsid w:val="0022669C"/>
    <w:rsid w:val="00226966"/>
    <w:rsid w:val="00226A2B"/>
    <w:rsid w:val="00226A4F"/>
    <w:rsid w:val="00226BB8"/>
    <w:rsid w:val="00226F1F"/>
    <w:rsid w:val="0022752C"/>
    <w:rsid w:val="00230059"/>
    <w:rsid w:val="00230193"/>
    <w:rsid w:val="00230500"/>
    <w:rsid w:val="00230E17"/>
    <w:rsid w:val="002317B2"/>
    <w:rsid w:val="00231B73"/>
    <w:rsid w:val="00231C8C"/>
    <w:rsid w:val="00231C90"/>
    <w:rsid w:val="00231FE4"/>
    <w:rsid w:val="0023252E"/>
    <w:rsid w:val="00232559"/>
    <w:rsid w:val="00232684"/>
    <w:rsid w:val="002327A4"/>
    <w:rsid w:val="002334FC"/>
    <w:rsid w:val="00233542"/>
    <w:rsid w:val="00233793"/>
    <w:rsid w:val="002337C5"/>
    <w:rsid w:val="00233B24"/>
    <w:rsid w:val="00233C8C"/>
    <w:rsid w:val="002340EE"/>
    <w:rsid w:val="002341B2"/>
    <w:rsid w:val="002348EC"/>
    <w:rsid w:val="00234E83"/>
    <w:rsid w:val="00234FA9"/>
    <w:rsid w:val="002353B7"/>
    <w:rsid w:val="002359C8"/>
    <w:rsid w:val="00235CD4"/>
    <w:rsid w:val="00235EF5"/>
    <w:rsid w:val="00235F1C"/>
    <w:rsid w:val="00236063"/>
    <w:rsid w:val="00236F0C"/>
    <w:rsid w:val="002370E7"/>
    <w:rsid w:val="00240015"/>
    <w:rsid w:val="0024025D"/>
    <w:rsid w:val="002406A9"/>
    <w:rsid w:val="002416A5"/>
    <w:rsid w:val="00241845"/>
    <w:rsid w:val="00241A10"/>
    <w:rsid w:val="00241F10"/>
    <w:rsid w:val="0024211C"/>
    <w:rsid w:val="002425F7"/>
    <w:rsid w:val="0024290C"/>
    <w:rsid w:val="002429C0"/>
    <w:rsid w:val="00242AA7"/>
    <w:rsid w:val="00242EB9"/>
    <w:rsid w:val="00242F7E"/>
    <w:rsid w:val="00243654"/>
    <w:rsid w:val="00243D5F"/>
    <w:rsid w:val="00243E31"/>
    <w:rsid w:val="002442C7"/>
    <w:rsid w:val="00244575"/>
    <w:rsid w:val="0024479D"/>
    <w:rsid w:val="00244941"/>
    <w:rsid w:val="00244B4E"/>
    <w:rsid w:val="00244CC3"/>
    <w:rsid w:val="00244EBB"/>
    <w:rsid w:val="00245377"/>
    <w:rsid w:val="002453CB"/>
    <w:rsid w:val="0024549D"/>
    <w:rsid w:val="00245645"/>
    <w:rsid w:val="002456E9"/>
    <w:rsid w:val="00245720"/>
    <w:rsid w:val="00245A90"/>
    <w:rsid w:val="00245EAE"/>
    <w:rsid w:val="002461FF"/>
    <w:rsid w:val="002465CF"/>
    <w:rsid w:val="00246B55"/>
    <w:rsid w:val="00246C3B"/>
    <w:rsid w:val="00246C68"/>
    <w:rsid w:val="00246D02"/>
    <w:rsid w:val="00246DF2"/>
    <w:rsid w:val="00246E67"/>
    <w:rsid w:val="00246EC9"/>
    <w:rsid w:val="00246F2B"/>
    <w:rsid w:val="00247765"/>
    <w:rsid w:val="00247A50"/>
    <w:rsid w:val="00247E14"/>
    <w:rsid w:val="00250462"/>
    <w:rsid w:val="00250E9E"/>
    <w:rsid w:val="0025121F"/>
    <w:rsid w:val="00251899"/>
    <w:rsid w:val="00251CB9"/>
    <w:rsid w:val="00251FB2"/>
    <w:rsid w:val="0025222E"/>
    <w:rsid w:val="00252429"/>
    <w:rsid w:val="002524D2"/>
    <w:rsid w:val="002525F0"/>
    <w:rsid w:val="00252DA3"/>
    <w:rsid w:val="00253111"/>
    <w:rsid w:val="00253334"/>
    <w:rsid w:val="002539FE"/>
    <w:rsid w:val="00253B47"/>
    <w:rsid w:val="00253B95"/>
    <w:rsid w:val="0025406A"/>
    <w:rsid w:val="00254982"/>
    <w:rsid w:val="00254E80"/>
    <w:rsid w:val="00254F3C"/>
    <w:rsid w:val="00255578"/>
    <w:rsid w:val="00255583"/>
    <w:rsid w:val="00255890"/>
    <w:rsid w:val="00255C73"/>
    <w:rsid w:val="00255F39"/>
    <w:rsid w:val="00255FBD"/>
    <w:rsid w:val="00256149"/>
    <w:rsid w:val="00256475"/>
    <w:rsid w:val="0025648C"/>
    <w:rsid w:val="0025670B"/>
    <w:rsid w:val="0025674F"/>
    <w:rsid w:val="00256B09"/>
    <w:rsid w:val="00256C0C"/>
    <w:rsid w:val="00257037"/>
    <w:rsid w:val="0025722D"/>
    <w:rsid w:val="0025748B"/>
    <w:rsid w:val="00257757"/>
    <w:rsid w:val="002578E9"/>
    <w:rsid w:val="00260611"/>
    <w:rsid w:val="00260745"/>
    <w:rsid w:val="002609CF"/>
    <w:rsid w:val="00260CAA"/>
    <w:rsid w:val="00260E91"/>
    <w:rsid w:val="00260EAA"/>
    <w:rsid w:val="00260FF5"/>
    <w:rsid w:val="0026102B"/>
    <w:rsid w:val="00261173"/>
    <w:rsid w:val="002616C0"/>
    <w:rsid w:val="00261C1F"/>
    <w:rsid w:val="00261E17"/>
    <w:rsid w:val="00261FD8"/>
    <w:rsid w:val="002620AD"/>
    <w:rsid w:val="0026222D"/>
    <w:rsid w:val="00262361"/>
    <w:rsid w:val="002623C6"/>
    <w:rsid w:val="00262920"/>
    <w:rsid w:val="002629D2"/>
    <w:rsid w:val="00262E87"/>
    <w:rsid w:val="00262F84"/>
    <w:rsid w:val="00262FBC"/>
    <w:rsid w:val="002630B9"/>
    <w:rsid w:val="00263372"/>
    <w:rsid w:val="00263542"/>
    <w:rsid w:val="00263869"/>
    <w:rsid w:val="002639E5"/>
    <w:rsid w:val="00263CDF"/>
    <w:rsid w:val="00264406"/>
    <w:rsid w:val="00264C06"/>
    <w:rsid w:val="00265432"/>
    <w:rsid w:val="00265746"/>
    <w:rsid w:val="002658A9"/>
    <w:rsid w:val="0026591E"/>
    <w:rsid w:val="002662BE"/>
    <w:rsid w:val="00266320"/>
    <w:rsid w:val="002667CE"/>
    <w:rsid w:val="00266A89"/>
    <w:rsid w:val="00266C6C"/>
    <w:rsid w:val="00266D98"/>
    <w:rsid w:val="00266E9B"/>
    <w:rsid w:val="002670A6"/>
    <w:rsid w:val="0026712C"/>
    <w:rsid w:val="00267533"/>
    <w:rsid w:val="0026782E"/>
    <w:rsid w:val="0026785F"/>
    <w:rsid w:val="00267B04"/>
    <w:rsid w:val="00267C5E"/>
    <w:rsid w:val="00267CFB"/>
    <w:rsid w:val="0027012B"/>
    <w:rsid w:val="00270178"/>
    <w:rsid w:val="0027019A"/>
    <w:rsid w:val="002701C4"/>
    <w:rsid w:val="0027071F"/>
    <w:rsid w:val="00270D57"/>
    <w:rsid w:val="00270EBC"/>
    <w:rsid w:val="00271162"/>
    <w:rsid w:val="0027138D"/>
    <w:rsid w:val="002714BB"/>
    <w:rsid w:val="002716CB"/>
    <w:rsid w:val="00271CE0"/>
    <w:rsid w:val="002720C3"/>
    <w:rsid w:val="002725FD"/>
    <w:rsid w:val="002728AF"/>
    <w:rsid w:val="00272959"/>
    <w:rsid w:val="00272B26"/>
    <w:rsid w:val="00272C9C"/>
    <w:rsid w:val="00272F36"/>
    <w:rsid w:val="002733DD"/>
    <w:rsid w:val="00273D57"/>
    <w:rsid w:val="002746B1"/>
    <w:rsid w:val="00274E33"/>
    <w:rsid w:val="00274FA2"/>
    <w:rsid w:val="002755E7"/>
    <w:rsid w:val="00275663"/>
    <w:rsid w:val="00275C77"/>
    <w:rsid w:val="00275CBC"/>
    <w:rsid w:val="0027664D"/>
    <w:rsid w:val="00276955"/>
    <w:rsid w:val="00276DEE"/>
    <w:rsid w:val="00277014"/>
    <w:rsid w:val="00277B31"/>
    <w:rsid w:val="002800A6"/>
    <w:rsid w:val="00280254"/>
    <w:rsid w:val="002802CA"/>
    <w:rsid w:val="002804B9"/>
    <w:rsid w:val="00280569"/>
    <w:rsid w:val="002805DC"/>
    <w:rsid w:val="002805DD"/>
    <w:rsid w:val="0028065F"/>
    <w:rsid w:val="00280706"/>
    <w:rsid w:val="00280D21"/>
    <w:rsid w:val="00281595"/>
    <w:rsid w:val="00281D17"/>
    <w:rsid w:val="00281F08"/>
    <w:rsid w:val="00282380"/>
    <w:rsid w:val="00282518"/>
    <w:rsid w:val="00282585"/>
    <w:rsid w:val="0028267C"/>
    <w:rsid w:val="0028268F"/>
    <w:rsid w:val="00282863"/>
    <w:rsid w:val="00282AD9"/>
    <w:rsid w:val="00282DC4"/>
    <w:rsid w:val="00282DD4"/>
    <w:rsid w:val="00283556"/>
    <w:rsid w:val="00283670"/>
    <w:rsid w:val="00283F9F"/>
    <w:rsid w:val="002843FD"/>
    <w:rsid w:val="002846E4"/>
    <w:rsid w:val="00284748"/>
    <w:rsid w:val="00285780"/>
    <w:rsid w:val="00285C3A"/>
    <w:rsid w:val="00285CDF"/>
    <w:rsid w:val="00285F13"/>
    <w:rsid w:val="00286115"/>
    <w:rsid w:val="002867AF"/>
    <w:rsid w:val="00286943"/>
    <w:rsid w:val="00286B31"/>
    <w:rsid w:val="00286B8D"/>
    <w:rsid w:val="00286EA2"/>
    <w:rsid w:val="00286F2B"/>
    <w:rsid w:val="0028706B"/>
    <w:rsid w:val="00287C90"/>
    <w:rsid w:val="00287EB9"/>
    <w:rsid w:val="002904DF"/>
    <w:rsid w:val="0029051D"/>
    <w:rsid w:val="0029098B"/>
    <w:rsid w:val="002910B9"/>
    <w:rsid w:val="00291765"/>
    <w:rsid w:val="00291930"/>
    <w:rsid w:val="00291BC8"/>
    <w:rsid w:val="00291CD1"/>
    <w:rsid w:val="00292248"/>
    <w:rsid w:val="00292258"/>
    <w:rsid w:val="00292277"/>
    <w:rsid w:val="0029291C"/>
    <w:rsid w:val="002936E0"/>
    <w:rsid w:val="00293F42"/>
    <w:rsid w:val="00294307"/>
    <w:rsid w:val="00294530"/>
    <w:rsid w:val="00294CF3"/>
    <w:rsid w:val="00294D61"/>
    <w:rsid w:val="00294ED6"/>
    <w:rsid w:val="00294EDF"/>
    <w:rsid w:val="00295116"/>
    <w:rsid w:val="002959DB"/>
    <w:rsid w:val="00295AA8"/>
    <w:rsid w:val="00295E7B"/>
    <w:rsid w:val="0029664D"/>
    <w:rsid w:val="002968FE"/>
    <w:rsid w:val="00296A1F"/>
    <w:rsid w:val="00296B97"/>
    <w:rsid w:val="00296BA1"/>
    <w:rsid w:val="00297708"/>
    <w:rsid w:val="00297999"/>
    <w:rsid w:val="002A0091"/>
    <w:rsid w:val="002A08EE"/>
    <w:rsid w:val="002A0B48"/>
    <w:rsid w:val="002A0C53"/>
    <w:rsid w:val="002A0DAE"/>
    <w:rsid w:val="002A116B"/>
    <w:rsid w:val="002A147E"/>
    <w:rsid w:val="002A1AB4"/>
    <w:rsid w:val="002A20F6"/>
    <w:rsid w:val="002A228B"/>
    <w:rsid w:val="002A23CA"/>
    <w:rsid w:val="002A2D9E"/>
    <w:rsid w:val="002A3877"/>
    <w:rsid w:val="002A3D7B"/>
    <w:rsid w:val="002A3DD8"/>
    <w:rsid w:val="002A4573"/>
    <w:rsid w:val="002A46E6"/>
    <w:rsid w:val="002A4786"/>
    <w:rsid w:val="002A497B"/>
    <w:rsid w:val="002A4DA5"/>
    <w:rsid w:val="002A51E9"/>
    <w:rsid w:val="002A54F2"/>
    <w:rsid w:val="002A558C"/>
    <w:rsid w:val="002A5920"/>
    <w:rsid w:val="002A59F8"/>
    <w:rsid w:val="002A5B76"/>
    <w:rsid w:val="002A5C6B"/>
    <w:rsid w:val="002A5F92"/>
    <w:rsid w:val="002A65B8"/>
    <w:rsid w:val="002A6733"/>
    <w:rsid w:val="002A6B74"/>
    <w:rsid w:val="002A6E2C"/>
    <w:rsid w:val="002A6E8B"/>
    <w:rsid w:val="002A7679"/>
    <w:rsid w:val="002A768D"/>
    <w:rsid w:val="002A778C"/>
    <w:rsid w:val="002A780E"/>
    <w:rsid w:val="002A7FD0"/>
    <w:rsid w:val="002B0425"/>
    <w:rsid w:val="002B0B97"/>
    <w:rsid w:val="002B0C36"/>
    <w:rsid w:val="002B109B"/>
    <w:rsid w:val="002B10B4"/>
    <w:rsid w:val="002B10CD"/>
    <w:rsid w:val="002B1FA6"/>
    <w:rsid w:val="002B20CE"/>
    <w:rsid w:val="002B227D"/>
    <w:rsid w:val="002B268D"/>
    <w:rsid w:val="002B28B4"/>
    <w:rsid w:val="002B2C11"/>
    <w:rsid w:val="002B30AD"/>
    <w:rsid w:val="002B3148"/>
    <w:rsid w:val="002B3A0E"/>
    <w:rsid w:val="002B3A89"/>
    <w:rsid w:val="002B3C43"/>
    <w:rsid w:val="002B3D67"/>
    <w:rsid w:val="002B3EF5"/>
    <w:rsid w:val="002B3F12"/>
    <w:rsid w:val="002B4016"/>
    <w:rsid w:val="002B42B6"/>
    <w:rsid w:val="002B459B"/>
    <w:rsid w:val="002B4604"/>
    <w:rsid w:val="002B5697"/>
    <w:rsid w:val="002B5AA6"/>
    <w:rsid w:val="002B6376"/>
    <w:rsid w:val="002B66C4"/>
    <w:rsid w:val="002B6772"/>
    <w:rsid w:val="002B67D5"/>
    <w:rsid w:val="002B6996"/>
    <w:rsid w:val="002B6A9E"/>
    <w:rsid w:val="002B6C4A"/>
    <w:rsid w:val="002B6E6B"/>
    <w:rsid w:val="002B71B2"/>
    <w:rsid w:val="002B7349"/>
    <w:rsid w:val="002B77AA"/>
    <w:rsid w:val="002B7BDC"/>
    <w:rsid w:val="002B7E1D"/>
    <w:rsid w:val="002B7FDC"/>
    <w:rsid w:val="002C045F"/>
    <w:rsid w:val="002C0572"/>
    <w:rsid w:val="002C07F1"/>
    <w:rsid w:val="002C0C57"/>
    <w:rsid w:val="002C1021"/>
    <w:rsid w:val="002C20CE"/>
    <w:rsid w:val="002C29A2"/>
    <w:rsid w:val="002C2B2F"/>
    <w:rsid w:val="002C2E41"/>
    <w:rsid w:val="002C2FA8"/>
    <w:rsid w:val="002C312B"/>
    <w:rsid w:val="002C32BD"/>
    <w:rsid w:val="002C3699"/>
    <w:rsid w:val="002C3D9A"/>
    <w:rsid w:val="002C3DF6"/>
    <w:rsid w:val="002C3F48"/>
    <w:rsid w:val="002C4584"/>
    <w:rsid w:val="002C485C"/>
    <w:rsid w:val="002C4A7A"/>
    <w:rsid w:val="002C4BD0"/>
    <w:rsid w:val="002C557A"/>
    <w:rsid w:val="002C5DB6"/>
    <w:rsid w:val="002C5EFE"/>
    <w:rsid w:val="002C5F7E"/>
    <w:rsid w:val="002C61B4"/>
    <w:rsid w:val="002C64C7"/>
    <w:rsid w:val="002C64CC"/>
    <w:rsid w:val="002C65C5"/>
    <w:rsid w:val="002C6800"/>
    <w:rsid w:val="002C68B1"/>
    <w:rsid w:val="002C70BB"/>
    <w:rsid w:val="002C7133"/>
    <w:rsid w:val="002C7357"/>
    <w:rsid w:val="002C752E"/>
    <w:rsid w:val="002C75D2"/>
    <w:rsid w:val="002C773C"/>
    <w:rsid w:val="002C77AE"/>
    <w:rsid w:val="002D0091"/>
    <w:rsid w:val="002D0245"/>
    <w:rsid w:val="002D02AB"/>
    <w:rsid w:val="002D1122"/>
    <w:rsid w:val="002D115C"/>
    <w:rsid w:val="002D1446"/>
    <w:rsid w:val="002D1505"/>
    <w:rsid w:val="002D19AB"/>
    <w:rsid w:val="002D1B67"/>
    <w:rsid w:val="002D1D6C"/>
    <w:rsid w:val="002D1E21"/>
    <w:rsid w:val="002D20E3"/>
    <w:rsid w:val="002D2157"/>
    <w:rsid w:val="002D21EF"/>
    <w:rsid w:val="002D2654"/>
    <w:rsid w:val="002D29F5"/>
    <w:rsid w:val="002D2D1C"/>
    <w:rsid w:val="002D37BD"/>
    <w:rsid w:val="002D3B30"/>
    <w:rsid w:val="002D3DB7"/>
    <w:rsid w:val="002D3E40"/>
    <w:rsid w:val="002D4126"/>
    <w:rsid w:val="002D4183"/>
    <w:rsid w:val="002D434E"/>
    <w:rsid w:val="002D440E"/>
    <w:rsid w:val="002D485F"/>
    <w:rsid w:val="002D49B0"/>
    <w:rsid w:val="002D533D"/>
    <w:rsid w:val="002D59EE"/>
    <w:rsid w:val="002D5B02"/>
    <w:rsid w:val="002D5CA3"/>
    <w:rsid w:val="002D61A3"/>
    <w:rsid w:val="002D61F6"/>
    <w:rsid w:val="002D668F"/>
    <w:rsid w:val="002D66BB"/>
    <w:rsid w:val="002D679C"/>
    <w:rsid w:val="002D67D7"/>
    <w:rsid w:val="002D68C2"/>
    <w:rsid w:val="002D6A34"/>
    <w:rsid w:val="002D6AD7"/>
    <w:rsid w:val="002D6B91"/>
    <w:rsid w:val="002D6BD6"/>
    <w:rsid w:val="002D6D8B"/>
    <w:rsid w:val="002D6E27"/>
    <w:rsid w:val="002D6F06"/>
    <w:rsid w:val="002D7215"/>
    <w:rsid w:val="002D7658"/>
    <w:rsid w:val="002D76F8"/>
    <w:rsid w:val="002E02C2"/>
    <w:rsid w:val="002E0362"/>
    <w:rsid w:val="002E13AE"/>
    <w:rsid w:val="002E1746"/>
    <w:rsid w:val="002E17ED"/>
    <w:rsid w:val="002E1C17"/>
    <w:rsid w:val="002E1D07"/>
    <w:rsid w:val="002E1D38"/>
    <w:rsid w:val="002E2318"/>
    <w:rsid w:val="002E235A"/>
    <w:rsid w:val="002E26E9"/>
    <w:rsid w:val="002E2D4C"/>
    <w:rsid w:val="002E2E0D"/>
    <w:rsid w:val="002E33C3"/>
    <w:rsid w:val="002E38A7"/>
    <w:rsid w:val="002E3F52"/>
    <w:rsid w:val="002E408E"/>
    <w:rsid w:val="002E4270"/>
    <w:rsid w:val="002E42A5"/>
    <w:rsid w:val="002E42FF"/>
    <w:rsid w:val="002E470A"/>
    <w:rsid w:val="002E4D35"/>
    <w:rsid w:val="002E5235"/>
    <w:rsid w:val="002E535D"/>
    <w:rsid w:val="002E5730"/>
    <w:rsid w:val="002E5EFC"/>
    <w:rsid w:val="002E603F"/>
    <w:rsid w:val="002E61D0"/>
    <w:rsid w:val="002E6729"/>
    <w:rsid w:val="002E6778"/>
    <w:rsid w:val="002E6898"/>
    <w:rsid w:val="002E6A6C"/>
    <w:rsid w:val="002E7138"/>
    <w:rsid w:val="002E7544"/>
    <w:rsid w:val="002E7783"/>
    <w:rsid w:val="002F00E7"/>
    <w:rsid w:val="002F0531"/>
    <w:rsid w:val="002F0616"/>
    <w:rsid w:val="002F0696"/>
    <w:rsid w:val="002F09E6"/>
    <w:rsid w:val="002F0B37"/>
    <w:rsid w:val="002F0D40"/>
    <w:rsid w:val="002F12EE"/>
    <w:rsid w:val="002F16B9"/>
    <w:rsid w:val="002F17BA"/>
    <w:rsid w:val="002F200B"/>
    <w:rsid w:val="002F2152"/>
    <w:rsid w:val="002F2182"/>
    <w:rsid w:val="002F2459"/>
    <w:rsid w:val="002F2670"/>
    <w:rsid w:val="002F2C3E"/>
    <w:rsid w:val="002F30DA"/>
    <w:rsid w:val="002F33B9"/>
    <w:rsid w:val="002F3630"/>
    <w:rsid w:val="002F3A52"/>
    <w:rsid w:val="002F3B5D"/>
    <w:rsid w:val="002F3E7F"/>
    <w:rsid w:val="002F4E20"/>
    <w:rsid w:val="002F5704"/>
    <w:rsid w:val="002F57E4"/>
    <w:rsid w:val="002F58FC"/>
    <w:rsid w:val="002F5A4D"/>
    <w:rsid w:val="002F5B21"/>
    <w:rsid w:val="002F5E37"/>
    <w:rsid w:val="002F5E6A"/>
    <w:rsid w:val="002F5E76"/>
    <w:rsid w:val="002F6090"/>
    <w:rsid w:val="002F61E2"/>
    <w:rsid w:val="002F6825"/>
    <w:rsid w:val="002F6AB2"/>
    <w:rsid w:val="002F6B5A"/>
    <w:rsid w:val="002F6BC1"/>
    <w:rsid w:val="002F6DDF"/>
    <w:rsid w:val="002F6E66"/>
    <w:rsid w:val="002F7182"/>
    <w:rsid w:val="002F7292"/>
    <w:rsid w:val="002F72E5"/>
    <w:rsid w:val="002F73F6"/>
    <w:rsid w:val="002F78EF"/>
    <w:rsid w:val="002F7EF6"/>
    <w:rsid w:val="002F7F7F"/>
    <w:rsid w:val="00300569"/>
    <w:rsid w:val="003005FC"/>
    <w:rsid w:val="00300B34"/>
    <w:rsid w:val="0030135D"/>
    <w:rsid w:val="00301E19"/>
    <w:rsid w:val="00301EA5"/>
    <w:rsid w:val="00301F43"/>
    <w:rsid w:val="003020D4"/>
    <w:rsid w:val="003024B9"/>
    <w:rsid w:val="003025C2"/>
    <w:rsid w:val="003027CA"/>
    <w:rsid w:val="0030281E"/>
    <w:rsid w:val="00302878"/>
    <w:rsid w:val="00302AA6"/>
    <w:rsid w:val="00302B0C"/>
    <w:rsid w:val="0030370B"/>
    <w:rsid w:val="00303752"/>
    <w:rsid w:val="0030378C"/>
    <w:rsid w:val="00303904"/>
    <w:rsid w:val="00304259"/>
    <w:rsid w:val="003046A3"/>
    <w:rsid w:val="003048F5"/>
    <w:rsid w:val="00304C6E"/>
    <w:rsid w:val="00304F2F"/>
    <w:rsid w:val="003050A1"/>
    <w:rsid w:val="00305290"/>
    <w:rsid w:val="003055C0"/>
    <w:rsid w:val="0030561D"/>
    <w:rsid w:val="00305947"/>
    <w:rsid w:val="00305BC8"/>
    <w:rsid w:val="00305CA4"/>
    <w:rsid w:val="00305E42"/>
    <w:rsid w:val="00305F1C"/>
    <w:rsid w:val="0030655B"/>
    <w:rsid w:val="0030684B"/>
    <w:rsid w:val="003068A6"/>
    <w:rsid w:val="00306966"/>
    <w:rsid w:val="003069B2"/>
    <w:rsid w:val="00306BF6"/>
    <w:rsid w:val="00306C36"/>
    <w:rsid w:val="00306DA2"/>
    <w:rsid w:val="0030729B"/>
    <w:rsid w:val="0030764F"/>
    <w:rsid w:val="00307768"/>
    <w:rsid w:val="00307CB8"/>
    <w:rsid w:val="00307FE6"/>
    <w:rsid w:val="0031028E"/>
    <w:rsid w:val="0031036B"/>
    <w:rsid w:val="00310548"/>
    <w:rsid w:val="0031061F"/>
    <w:rsid w:val="003106D0"/>
    <w:rsid w:val="00310766"/>
    <w:rsid w:val="00310CD1"/>
    <w:rsid w:val="00310D0C"/>
    <w:rsid w:val="00310F33"/>
    <w:rsid w:val="003110FF"/>
    <w:rsid w:val="00311509"/>
    <w:rsid w:val="0031159C"/>
    <w:rsid w:val="00311D5D"/>
    <w:rsid w:val="00311E7E"/>
    <w:rsid w:val="003128F5"/>
    <w:rsid w:val="003129FB"/>
    <w:rsid w:val="00313996"/>
    <w:rsid w:val="00313E1E"/>
    <w:rsid w:val="00313F18"/>
    <w:rsid w:val="003144C5"/>
    <w:rsid w:val="0031490C"/>
    <w:rsid w:val="00314A47"/>
    <w:rsid w:val="00315227"/>
    <w:rsid w:val="003153DA"/>
    <w:rsid w:val="003159AE"/>
    <w:rsid w:val="00315EED"/>
    <w:rsid w:val="003162F0"/>
    <w:rsid w:val="0031631C"/>
    <w:rsid w:val="00316371"/>
    <w:rsid w:val="00316442"/>
    <w:rsid w:val="00316C5D"/>
    <w:rsid w:val="00316F99"/>
    <w:rsid w:val="00317018"/>
    <w:rsid w:val="00317710"/>
    <w:rsid w:val="00317E26"/>
    <w:rsid w:val="00317FEB"/>
    <w:rsid w:val="003209F9"/>
    <w:rsid w:val="00320B8D"/>
    <w:rsid w:val="00320F60"/>
    <w:rsid w:val="00321229"/>
    <w:rsid w:val="0032133D"/>
    <w:rsid w:val="00321450"/>
    <w:rsid w:val="00321D17"/>
    <w:rsid w:val="00321D3E"/>
    <w:rsid w:val="00322230"/>
    <w:rsid w:val="003223E4"/>
    <w:rsid w:val="003225A7"/>
    <w:rsid w:val="00322691"/>
    <w:rsid w:val="00322C7B"/>
    <w:rsid w:val="00323055"/>
    <w:rsid w:val="00323101"/>
    <w:rsid w:val="0032312B"/>
    <w:rsid w:val="0032313F"/>
    <w:rsid w:val="003238E9"/>
    <w:rsid w:val="00323D72"/>
    <w:rsid w:val="00323E65"/>
    <w:rsid w:val="00323E77"/>
    <w:rsid w:val="00323E95"/>
    <w:rsid w:val="00324624"/>
    <w:rsid w:val="00324997"/>
    <w:rsid w:val="00324C15"/>
    <w:rsid w:val="00324C2D"/>
    <w:rsid w:val="003251A2"/>
    <w:rsid w:val="00325613"/>
    <w:rsid w:val="00325751"/>
    <w:rsid w:val="00325D92"/>
    <w:rsid w:val="0032608D"/>
    <w:rsid w:val="0032617B"/>
    <w:rsid w:val="003261D8"/>
    <w:rsid w:val="003264C4"/>
    <w:rsid w:val="003266C1"/>
    <w:rsid w:val="00326874"/>
    <w:rsid w:val="0032692D"/>
    <w:rsid w:val="00326BE3"/>
    <w:rsid w:val="00326BF6"/>
    <w:rsid w:val="00326D39"/>
    <w:rsid w:val="00326E38"/>
    <w:rsid w:val="00327455"/>
    <w:rsid w:val="003274AA"/>
    <w:rsid w:val="0032794A"/>
    <w:rsid w:val="00327BCC"/>
    <w:rsid w:val="00327CD0"/>
    <w:rsid w:val="00327FD3"/>
    <w:rsid w:val="00330E14"/>
    <w:rsid w:val="00330FFB"/>
    <w:rsid w:val="00331134"/>
    <w:rsid w:val="00331248"/>
    <w:rsid w:val="00331847"/>
    <w:rsid w:val="00331890"/>
    <w:rsid w:val="0033275E"/>
    <w:rsid w:val="003327AC"/>
    <w:rsid w:val="00332D28"/>
    <w:rsid w:val="003333D8"/>
    <w:rsid w:val="003335B8"/>
    <w:rsid w:val="00333756"/>
    <w:rsid w:val="00333AC5"/>
    <w:rsid w:val="00333CAB"/>
    <w:rsid w:val="00333CD2"/>
    <w:rsid w:val="00333E04"/>
    <w:rsid w:val="003340EE"/>
    <w:rsid w:val="00334405"/>
    <w:rsid w:val="003344C1"/>
    <w:rsid w:val="0033466F"/>
    <w:rsid w:val="003347C8"/>
    <w:rsid w:val="003348EA"/>
    <w:rsid w:val="00334AA5"/>
    <w:rsid w:val="00334BE2"/>
    <w:rsid w:val="00334DC6"/>
    <w:rsid w:val="00335149"/>
    <w:rsid w:val="00335166"/>
    <w:rsid w:val="003352D1"/>
    <w:rsid w:val="00335323"/>
    <w:rsid w:val="003354F3"/>
    <w:rsid w:val="00335B4E"/>
    <w:rsid w:val="00336331"/>
    <w:rsid w:val="00336478"/>
    <w:rsid w:val="00336C88"/>
    <w:rsid w:val="00336FE9"/>
    <w:rsid w:val="003370C6"/>
    <w:rsid w:val="003376E5"/>
    <w:rsid w:val="0033799E"/>
    <w:rsid w:val="00337E6C"/>
    <w:rsid w:val="003402C6"/>
    <w:rsid w:val="003402E8"/>
    <w:rsid w:val="003405B1"/>
    <w:rsid w:val="0034060D"/>
    <w:rsid w:val="00340936"/>
    <w:rsid w:val="00340A13"/>
    <w:rsid w:val="00340FE2"/>
    <w:rsid w:val="00341457"/>
    <w:rsid w:val="00341722"/>
    <w:rsid w:val="003418B3"/>
    <w:rsid w:val="00341B74"/>
    <w:rsid w:val="00341EC0"/>
    <w:rsid w:val="003425C0"/>
    <w:rsid w:val="00342630"/>
    <w:rsid w:val="003426ED"/>
    <w:rsid w:val="00342A56"/>
    <w:rsid w:val="00342B23"/>
    <w:rsid w:val="00342BC9"/>
    <w:rsid w:val="00342CC7"/>
    <w:rsid w:val="00342E42"/>
    <w:rsid w:val="00342FBA"/>
    <w:rsid w:val="00344150"/>
    <w:rsid w:val="003442A2"/>
    <w:rsid w:val="00344459"/>
    <w:rsid w:val="003446D0"/>
    <w:rsid w:val="00344D5B"/>
    <w:rsid w:val="0034552D"/>
    <w:rsid w:val="00346035"/>
    <w:rsid w:val="00346363"/>
    <w:rsid w:val="003467E8"/>
    <w:rsid w:val="00346DF0"/>
    <w:rsid w:val="003470BE"/>
    <w:rsid w:val="003503D7"/>
    <w:rsid w:val="00350551"/>
    <w:rsid w:val="003505F7"/>
    <w:rsid w:val="00350C1F"/>
    <w:rsid w:val="00351213"/>
    <w:rsid w:val="003512AE"/>
    <w:rsid w:val="003518F8"/>
    <w:rsid w:val="00351FED"/>
    <w:rsid w:val="0035243D"/>
    <w:rsid w:val="003525EB"/>
    <w:rsid w:val="00352E3D"/>
    <w:rsid w:val="003532C7"/>
    <w:rsid w:val="003535F7"/>
    <w:rsid w:val="00353E7D"/>
    <w:rsid w:val="00353F6B"/>
    <w:rsid w:val="00354146"/>
    <w:rsid w:val="00354E4A"/>
    <w:rsid w:val="0035504B"/>
    <w:rsid w:val="00356183"/>
    <w:rsid w:val="003562A6"/>
    <w:rsid w:val="003563E0"/>
    <w:rsid w:val="0035649A"/>
    <w:rsid w:val="0035679F"/>
    <w:rsid w:val="00356E04"/>
    <w:rsid w:val="00356F48"/>
    <w:rsid w:val="00356F69"/>
    <w:rsid w:val="003570E0"/>
    <w:rsid w:val="003575AD"/>
    <w:rsid w:val="003576B5"/>
    <w:rsid w:val="00357783"/>
    <w:rsid w:val="00357848"/>
    <w:rsid w:val="00357AD8"/>
    <w:rsid w:val="00357D6F"/>
    <w:rsid w:val="00360090"/>
    <w:rsid w:val="003609A4"/>
    <w:rsid w:val="00360A1D"/>
    <w:rsid w:val="00360EE1"/>
    <w:rsid w:val="00360FB3"/>
    <w:rsid w:val="00361317"/>
    <w:rsid w:val="0036142F"/>
    <w:rsid w:val="00361636"/>
    <w:rsid w:val="00361650"/>
    <w:rsid w:val="00361BEE"/>
    <w:rsid w:val="00362300"/>
    <w:rsid w:val="0036255B"/>
    <w:rsid w:val="00362799"/>
    <w:rsid w:val="003628EA"/>
    <w:rsid w:val="003629AC"/>
    <w:rsid w:val="00362BCF"/>
    <w:rsid w:val="00362DCC"/>
    <w:rsid w:val="003633B3"/>
    <w:rsid w:val="00363787"/>
    <w:rsid w:val="00363C56"/>
    <w:rsid w:val="00363E17"/>
    <w:rsid w:val="0036434E"/>
    <w:rsid w:val="003645C6"/>
    <w:rsid w:val="00364631"/>
    <w:rsid w:val="00364E09"/>
    <w:rsid w:val="0036519F"/>
    <w:rsid w:val="003651B8"/>
    <w:rsid w:val="00365996"/>
    <w:rsid w:val="00365D01"/>
    <w:rsid w:val="00365F91"/>
    <w:rsid w:val="0036603E"/>
    <w:rsid w:val="0036670D"/>
    <w:rsid w:val="003669E6"/>
    <w:rsid w:val="00366A6C"/>
    <w:rsid w:val="00366F5B"/>
    <w:rsid w:val="003671BE"/>
    <w:rsid w:val="00367233"/>
    <w:rsid w:val="0036751A"/>
    <w:rsid w:val="0036782F"/>
    <w:rsid w:val="003678CE"/>
    <w:rsid w:val="00367A93"/>
    <w:rsid w:val="00367AFA"/>
    <w:rsid w:val="00367C47"/>
    <w:rsid w:val="00367F13"/>
    <w:rsid w:val="0037056E"/>
    <w:rsid w:val="00370A82"/>
    <w:rsid w:val="00370D3C"/>
    <w:rsid w:val="00370D62"/>
    <w:rsid w:val="00370EE4"/>
    <w:rsid w:val="003716F9"/>
    <w:rsid w:val="00372106"/>
    <w:rsid w:val="00372256"/>
    <w:rsid w:val="00372337"/>
    <w:rsid w:val="00372C7C"/>
    <w:rsid w:val="003732F8"/>
    <w:rsid w:val="00373698"/>
    <w:rsid w:val="003737EB"/>
    <w:rsid w:val="00373B89"/>
    <w:rsid w:val="00373BCE"/>
    <w:rsid w:val="00373F73"/>
    <w:rsid w:val="00374C15"/>
    <w:rsid w:val="003751DD"/>
    <w:rsid w:val="003758D5"/>
    <w:rsid w:val="00375E98"/>
    <w:rsid w:val="00376239"/>
    <w:rsid w:val="0037672F"/>
    <w:rsid w:val="00376755"/>
    <w:rsid w:val="003773A8"/>
    <w:rsid w:val="003773C9"/>
    <w:rsid w:val="003774B0"/>
    <w:rsid w:val="0037774E"/>
    <w:rsid w:val="003777E0"/>
    <w:rsid w:val="00377839"/>
    <w:rsid w:val="00377847"/>
    <w:rsid w:val="00377908"/>
    <w:rsid w:val="00377A38"/>
    <w:rsid w:val="00377D34"/>
    <w:rsid w:val="00377EAF"/>
    <w:rsid w:val="00377F99"/>
    <w:rsid w:val="0038010B"/>
    <w:rsid w:val="00380C28"/>
    <w:rsid w:val="00380D70"/>
    <w:rsid w:val="00380D9C"/>
    <w:rsid w:val="00380EC9"/>
    <w:rsid w:val="00380EDB"/>
    <w:rsid w:val="0038146F"/>
    <w:rsid w:val="00381692"/>
    <w:rsid w:val="0038195E"/>
    <w:rsid w:val="00381A6F"/>
    <w:rsid w:val="00381EB8"/>
    <w:rsid w:val="00381F6C"/>
    <w:rsid w:val="00382019"/>
    <w:rsid w:val="00382E30"/>
    <w:rsid w:val="00382E64"/>
    <w:rsid w:val="003830D2"/>
    <w:rsid w:val="003830EE"/>
    <w:rsid w:val="003834B4"/>
    <w:rsid w:val="00383693"/>
    <w:rsid w:val="003837A1"/>
    <w:rsid w:val="00383DBF"/>
    <w:rsid w:val="00383E55"/>
    <w:rsid w:val="00384216"/>
    <w:rsid w:val="00384393"/>
    <w:rsid w:val="003843D5"/>
    <w:rsid w:val="00384469"/>
    <w:rsid w:val="00384511"/>
    <w:rsid w:val="00384536"/>
    <w:rsid w:val="003847C7"/>
    <w:rsid w:val="00384A07"/>
    <w:rsid w:val="00384DBA"/>
    <w:rsid w:val="00384E30"/>
    <w:rsid w:val="00385190"/>
    <w:rsid w:val="00385805"/>
    <w:rsid w:val="0038584A"/>
    <w:rsid w:val="00385868"/>
    <w:rsid w:val="003858F5"/>
    <w:rsid w:val="00385D33"/>
    <w:rsid w:val="00385F58"/>
    <w:rsid w:val="00386273"/>
    <w:rsid w:val="003865A6"/>
    <w:rsid w:val="00386DA8"/>
    <w:rsid w:val="00386E6E"/>
    <w:rsid w:val="00386E80"/>
    <w:rsid w:val="003878AD"/>
    <w:rsid w:val="00390105"/>
    <w:rsid w:val="003904DA"/>
    <w:rsid w:val="0039060C"/>
    <w:rsid w:val="003906D6"/>
    <w:rsid w:val="003907AB"/>
    <w:rsid w:val="00390AF8"/>
    <w:rsid w:val="00390D3A"/>
    <w:rsid w:val="003912F0"/>
    <w:rsid w:val="00391520"/>
    <w:rsid w:val="003915CB"/>
    <w:rsid w:val="003916D6"/>
    <w:rsid w:val="0039175B"/>
    <w:rsid w:val="00391ABD"/>
    <w:rsid w:val="00391B15"/>
    <w:rsid w:val="00391F89"/>
    <w:rsid w:val="00391FD5"/>
    <w:rsid w:val="0039223B"/>
    <w:rsid w:val="00392363"/>
    <w:rsid w:val="00392502"/>
    <w:rsid w:val="0039262B"/>
    <w:rsid w:val="00392B73"/>
    <w:rsid w:val="00392DD0"/>
    <w:rsid w:val="00393361"/>
    <w:rsid w:val="00393740"/>
    <w:rsid w:val="003938B3"/>
    <w:rsid w:val="00393A15"/>
    <w:rsid w:val="00393B56"/>
    <w:rsid w:val="00393D0B"/>
    <w:rsid w:val="00393E31"/>
    <w:rsid w:val="00394056"/>
    <w:rsid w:val="003942B9"/>
    <w:rsid w:val="0039436B"/>
    <w:rsid w:val="0039472C"/>
    <w:rsid w:val="00394748"/>
    <w:rsid w:val="00394BDB"/>
    <w:rsid w:val="00394D5B"/>
    <w:rsid w:val="00394E2D"/>
    <w:rsid w:val="00394E38"/>
    <w:rsid w:val="003953D2"/>
    <w:rsid w:val="0039566C"/>
    <w:rsid w:val="00395836"/>
    <w:rsid w:val="003958B1"/>
    <w:rsid w:val="00396160"/>
    <w:rsid w:val="00396230"/>
    <w:rsid w:val="0039626A"/>
    <w:rsid w:val="003963F7"/>
    <w:rsid w:val="00396495"/>
    <w:rsid w:val="003966AB"/>
    <w:rsid w:val="0039680E"/>
    <w:rsid w:val="00396896"/>
    <w:rsid w:val="00396903"/>
    <w:rsid w:val="00396B3C"/>
    <w:rsid w:val="00396CF6"/>
    <w:rsid w:val="0039702A"/>
    <w:rsid w:val="00397200"/>
    <w:rsid w:val="00397D5C"/>
    <w:rsid w:val="003A00FF"/>
    <w:rsid w:val="003A012F"/>
    <w:rsid w:val="003A0756"/>
    <w:rsid w:val="003A0D6E"/>
    <w:rsid w:val="003A0EDA"/>
    <w:rsid w:val="003A146A"/>
    <w:rsid w:val="003A1594"/>
    <w:rsid w:val="003A1A60"/>
    <w:rsid w:val="003A1AFA"/>
    <w:rsid w:val="003A1F27"/>
    <w:rsid w:val="003A21F4"/>
    <w:rsid w:val="003A232D"/>
    <w:rsid w:val="003A2346"/>
    <w:rsid w:val="003A24E1"/>
    <w:rsid w:val="003A2922"/>
    <w:rsid w:val="003A2926"/>
    <w:rsid w:val="003A31A3"/>
    <w:rsid w:val="003A328F"/>
    <w:rsid w:val="003A344F"/>
    <w:rsid w:val="003A389D"/>
    <w:rsid w:val="003A3A83"/>
    <w:rsid w:val="003A4152"/>
    <w:rsid w:val="003A454A"/>
    <w:rsid w:val="003A45A9"/>
    <w:rsid w:val="003A488A"/>
    <w:rsid w:val="003A56FD"/>
    <w:rsid w:val="003A61D6"/>
    <w:rsid w:val="003A68A4"/>
    <w:rsid w:val="003A68C5"/>
    <w:rsid w:val="003A75DD"/>
    <w:rsid w:val="003A763C"/>
    <w:rsid w:val="003A7E92"/>
    <w:rsid w:val="003A7FC1"/>
    <w:rsid w:val="003A7FE4"/>
    <w:rsid w:val="003B00F8"/>
    <w:rsid w:val="003B0143"/>
    <w:rsid w:val="003B05DB"/>
    <w:rsid w:val="003B0774"/>
    <w:rsid w:val="003B081A"/>
    <w:rsid w:val="003B0B6C"/>
    <w:rsid w:val="003B0D08"/>
    <w:rsid w:val="003B0F71"/>
    <w:rsid w:val="003B12D7"/>
    <w:rsid w:val="003B1527"/>
    <w:rsid w:val="003B1659"/>
    <w:rsid w:val="003B1811"/>
    <w:rsid w:val="003B1832"/>
    <w:rsid w:val="003B1921"/>
    <w:rsid w:val="003B1928"/>
    <w:rsid w:val="003B19E2"/>
    <w:rsid w:val="003B1C45"/>
    <w:rsid w:val="003B28F8"/>
    <w:rsid w:val="003B3035"/>
    <w:rsid w:val="003B3038"/>
    <w:rsid w:val="003B3325"/>
    <w:rsid w:val="003B392B"/>
    <w:rsid w:val="003B392C"/>
    <w:rsid w:val="003B46FF"/>
    <w:rsid w:val="003B4700"/>
    <w:rsid w:val="003B4704"/>
    <w:rsid w:val="003B47B7"/>
    <w:rsid w:val="003B49E6"/>
    <w:rsid w:val="003B4B90"/>
    <w:rsid w:val="003B4D55"/>
    <w:rsid w:val="003B4E86"/>
    <w:rsid w:val="003B4F84"/>
    <w:rsid w:val="003B4FDC"/>
    <w:rsid w:val="003B50D1"/>
    <w:rsid w:val="003B53A6"/>
    <w:rsid w:val="003B5573"/>
    <w:rsid w:val="003B59F3"/>
    <w:rsid w:val="003B5B62"/>
    <w:rsid w:val="003B5C28"/>
    <w:rsid w:val="003B5E14"/>
    <w:rsid w:val="003B5EC9"/>
    <w:rsid w:val="003B647E"/>
    <w:rsid w:val="003B6776"/>
    <w:rsid w:val="003B683B"/>
    <w:rsid w:val="003B6F47"/>
    <w:rsid w:val="003B72FE"/>
    <w:rsid w:val="003B73FD"/>
    <w:rsid w:val="003B75A1"/>
    <w:rsid w:val="003B7702"/>
    <w:rsid w:val="003B7886"/>
    <w:rsid w:val="003B7923"/>
    <w:rsid w:val="003B7CEC"/>
    <w:rsid w:val="003C039F"/>
    <w:rsid w:val="003C0A56"/>
    <w:rsid w:val="003C0A98"/>
    <w:rsid w:val="003C11EC"/>
    <w:rsid w:val="003C128B"/>
    <w:rsid w:val="003C18C5"/>
    <w:rsid w:val="003C1917"/>
    <w:rsid w:val="003C1D00"/>
    <w:rsid w:val="003C224C"/>
    <w:rsid w:val="003C24E3"/>
    <w:rsid w:val="003C28F0"/>
    <w:rsid w:val="003C2A64"/>
    <w:rsid w:val="003C2AB3"/>
    <w:rsid w:val="003C2C1F"/>
    <w:rsid w:val="003C2D6F"/>
    <w:rsid w:val="003C2F26"/>
    <w:rsid w:val="003C2FF6"/>
    <w:rsid w:val="003C31BB"/>
    <w:rsid w:val="003C33A9"/>
    <w:rsid w:val="003C37AA"/>
    <w:rsid w:val="003C37C6"/>
    <w:rsid w:val="003C37F9"/>
    <w:rsid w:val="003C3A31"/>
    <w:rsid w:val="003C3A3C"/>
    <w:rsid w:val="003C3C2B"/>
    <w:rsid w:val="003C3DC5"/>
    <w:rsid w:val="003C40CD"/>
    <w:rsid w:val="003C411F"/>
    <w:rsid w:val="003C45D8"/>
    <w:rsid w:val="003C4935"/>
    <w:rsid w:val="003C4ABB"/>
    <w:rsid w:val="003C4B3C"/>
    <w:rsid w:val="003C4BD3"/>
    <w:rsid w:val="003C4C46"/>
    <w:rsid w:val="003C5043"/>
    <w:rsid w:val="003C5136"/>
    <w:rsid w:val="003C52F2"/>
    <w:rsid w:val="003C53D4"/>
    <w:rsid w:val="003C5497"/>
    <w:rsid w:val="003C54C8"/>
    <w:rsid w:val="003C599F"/>
    <w:rsid w:val="003C5B48"/>
    <w:rsid w:val="003C5BDF"/>
    <w:rsid w:val="003C614E"/>
    <w:rsid w:val="003C6357"/>
    <w:rsid w:val="003C6515"/>
    <w:rsid w:val="003C6AB7"/>
    <w:rsid w:val="003C6E4D"/>
    <w:rsid w:val="003C72F7"/>
    <w:rsid w:val="003C74B0"/>
    <w:rsid w:val="003C785D"/>
    <w:rsid w:val="003C790D"/>
    <w:rsid w:val="003C7D2F"/>
    <w:rsid w:val="003C7FBF"/>
    <w:rsid w:val="003D057E"/>
    <w:rsid w:val="003D07B5"/>
    <w:rsid w:val="003D0847"/>
    <w:rsid w:val="003D0964"/>
    <w:rsid w:val="003D0BAC"/>
    <w:rsid w:val="003D1253"/>
    <w:rsid w:val="003D12D5"/>
    <w:rsid w:val="003D15D5"/>
    <w:rsid w:val="003D1636"/>
    <w:rsid w:val="003D1678"/>
    <w:rsid w:val="003D1D21"/>
    <w:rsid w:val="003D1DCA"/>
    <w:rsid w:val="003D2D78"/>
    <w:rsid w:val="003D32FF"/>
    <w:rsid w:val="003D3A56"/>
    <w:rsid w:val="003D3BA3"/>
    <w:rsid w:val="003D454C"/>
    <w:rsid w:val="003D46C5"/>
    <w:rsid w:val="003D48A9"/>
    <w:rsid w:val="003D4DD5"/>
    <w:rsid w:val="003D4F2E"/>
    <w:rsid w:val="003D51E3"/>
    <w:rsid w:val="003D5338"/>
    <w:rsid w:val="003D53D8"/>
    <w:rsid w:val="003D5600"/>
    <w:rsid w:val="003D5C2F"/>
    <w:rsid w:val="003D5CF5"/>
    <w:rsid w:val="003D5DAC"/>
    <w:rsid w:val="003D5FC1"/>
    <w:rsid w:val="003D648C"/>
    <w:rsid w:val="003D6582"/>
    <w:rsid w:val="003D65DB"/>
    <w:rsid w:val="003D6AFC"/>
    <w:rsid w:val="003D6E00"/>
    <w:rsid w:val="003D6EE6"/>
    <w:rsid w:val="003D788C"/>
    <w:rsid w:val="003D7A97"/>
    <w:rsid w:val="003D7AE1"/>
    <w:rsid w:val="003D7BB3"/>
    <w:rsid w:val="003D7E60"/>
    <w:rsid w:val="003E00AB"/>
    <w:rsid w:val="003E02EA"/>
    <w:rsid w:val="003E0430"/>
    <w:rsid w:val="003E072A"/>
    <w:rsid w:val="003E0A05"/>
    <w:rsid w:val="003E0C4E"/>
    <w:rsid w:val="003E11D0"/>
    <w:rsid w:val="003E1432"/>
    <w:rsid w:val="003E1AE3"/>
    <w:rsid w:val="003E1BEE"/>
    <w:rsid w:val="003E1E9A"/>
    <w:rsid w:val="003E215E"/>
    <w:rsid w:val="003E2317"/>
    <w:rsid w:val="003E2862"/>
    <w:rsid w:val="003E2B21"/>
    <w:rsid w:val="003E368B"/>
    <w:rsid w:val="003E3770"/>
    <w:rsid w:val="003E3C71"/>
    <w:rsid w:val="003E4019"/>
    <w:rsid w:val="003E4484"/>
    <w:rsid w:val="003E4ECC"/>
    <w:rsid w:val="003E557A"/>
    <w:rsid w:val="003E5603"/>
    <w:rsid w:val="003E560A"/>
    <w:rsid w:val="003E574A"/>
    <w:rsid w:val="003E59B4"/>
    <w:rsid w:val="003E5EF8"/>
    <w:rsid w:val="003E5F73"/>
    <w:rsid w:val="003E5F76"/>
    <w:rsid w:val="003E6166"/>
    <w:rsid w:val="003E6347"/>
    <w:rsid w:val="003E669D"/>
    <w:rsid w:val="003E6C08"/>
    <w:rsid w:val="003E7000"/>
    <w:rsid w:val="003E710B"/>
    <w:rsid w:val="003E7A6E"/>
    <w:rsid w:val="003E7C14"/>
    <w:rsid w:val="003E7D22"/>
    <w:rsid w:val="003F062B"/>
    <w:rsid w:val="003F06E1"/>
    <w:rsid w:val="003F095C"/>
    <w:rsid w:val="003F0D44"/>
    <w:rsid w:val="003F1580"/>
    <w:rsid w:val="003F1640"/>
    <w:rsid w:val="003F19B4"/>
    <w:rsid w:val="003F1B13"/>
    <w:rsid w:val="003F2352"/>
    <w:rsid w:val="003F27A4"/>
    <w:rsid w:val="003F2C9B"/>
    <w:rsid w:val="003F2D0C"/>
    <w:rsid w:val="003F2EDE"/>
    <w:rsid w:val="003F37B8"/>
    <w:rsid w:val="003F3945"/>
    <w:rsid w:val="003F40BE"/>
    <w:rsid w:val="003F4117"/>
    <w:rsid w:val="003F44C4"/>
    <w:rsid w:val="003F4AB8"/>
    <w:rsid w:val="003F4F50"/>
    <w:rsid w:val="003F61EF"/>
    <w:rsid w:val="003F6347"/>
    <w:rsid w:val="003F645A"/>
    <w:rsid w:val="003F6D48"/>
    <w:rsid w:val="003F6E6E"/>
    <w:rsid w:val="003F6F66"/>
    <w:rsid w:val="003F70EC"/>
    <w:rsid w:val="003F733E"/>
    <w:rsid w:val="003F746A"/>
    <w:rsid w:val="003F7625"/>
    <w:rsid w:val="003F7790"/>
    <w:rsid w:val="003F78A3"/>
    <w:rsid w:val="003F7ACF"/>
    <w:rsid w:val="003F7BC2"/>
    <w:rsid w:val="003F7F8E"/>
    <w:rsid w:val="0040020D"/>
    <w:rsid w:val="00400296"/>
    <w:rsid w:val="004005FE"/>
    <w:rsid w:val="0040093F"/>
    <w:rsid w:val="00400E8B"/>
    <w:rsid w:val="004013A0"/>
    <w:rsid w:val="00401407"/>
    <w:rsid w:val="004022EB"/>
    <w:rsid w:val="0040267F"/>
    <w:rsid w:val="00402C73"/>
    <w:rsid w:val="00402FC1"/>
    <w:rsid w:val="00403024"/>
    <w:rsid w:val="00403C4E"/>
    <w:rsid w:val="00403FB7"/>
    <w:rsid w:val="00404792"/>
    <w:rsid w:val="004047E8"/>
    <w:rsid w:val="00404C8C"/>
    <w:rsid w:val="004053C0"/>
    <w:rsid w:val="00405615"/>
    <w:rsid w:val="00405894"/>
    <w:rsid w:val="00405F83"/>
    <w:rsid w:val="00405F92"/>
    <w:rsid w:val="0040632B"/>
    <w:rsid w:val="0040666F"/>
    <w:rsid w:val="004067F1"/>
    <w:rsid w:val="00406A02"/>
    <w:rsid w:val="00406E32"/>
    <w:rsid w:val="004071ED"/>
    <w:rsid w:val="0040766B"/>
    <w:rsid w:val="004076CA"/>
    <w:rsid w:val="00407B83"/>
    <w:rsid w:val="00407D0B"/>
    <w:rsid w:val="004101D0"/>
    <w:rsid w:val="00410F2F"/>
    <w:rsid w:val="00411321"/>
    <w:rsid w:val="00411602"/>
    <w:rsid w:val="00411AEC"/>
    <w:rsid w:val="00411D66"/>
    <w:rsid w:val="00411F16"/>
    <w:rsid w:val="00412415"/>
    <w:rsid w:val="00412484"/>
    <w:rsid w:val="0041259A"/>
    <w:rsid w:val="004127E0"/>
    <w:rsid w:val="004131CB"/>
    <w:rsid w:val="0041499B"/>
    <w:rsid w:val="00414A16"/>
    <w:rsid w:val="00414E74"/>
    <w:rsid w:val="004155A4"/>
    <w:rsid w:val="00415689"/>
    <w:rsid w:val="00415B9B"/>
    <w:rsid w:val="00415E92"/>
    <w:rsid w:val="004163F8"/>
    <w:rsid w:val="004172B3"/>
    <w:rsid w:val="00417B74"/>
    <w:rsid w:val="00417B8F"/>
    <w:rsid w:val="00417D16"/>
    <w:rsid w:val="00417F51"/>
    <w:rsid w:val="004201DE"/>
    <w:rsid w:val="004203B0"/>
    <w:rsid w:val="00420904"/>
    <w:rsid w:val="004209F4"/>
    <w:rsid w:val="00420C61"/>
    <w:rsid w:val="00420E63"/>
    <w:rsid w:val="00420F68"/>
    <w:rsid w:val="00421393"/>
    <w:rsid w:val="0042152C"/>
    <w:rsid w:val="00421636"/>
    <w:rsid w:val="00421AC1"/>
    <w:rsid w:val="004220EE"/>
    <w:rsid w:val="00422780"/>
    <w:rsid w:val="004227F9"/>
    <w:rsid w:val="00423060"/>
    <w:rsid w:val="00423149"/>
    <w:rsid w:val="004231DA"/>
    <w:rsid w:val="00423CE2"/>
    <w:rsid w:val="004241C0"/>
    <w:rsid w:val="004245FA"/>
    <w:rsid w:val="004248AA"/>
    <w:rsid w:val="00424B65"/>
    <w:rsid w:val="0042501D"/>
    <w:rsid w:val="004250D7"/>
    <w:rsid w:val="0042518D"/>
    <w:rsid w:val="00425234"/>
    <w:rsid w:val="0042531D"/>
    <w:rsid w:val="00425566"/>
    <w:rsid w:val="00425D75"/>
    <w:rsid w:val="00426688"/>
    <w:rsid w:val="004272B5"/>
    <w:rsid w:val="004276FA"/>
    <w:rsid w:val="00427BCD"/>
    <w:rsid w:val="00427CE4"/>
    <w:rsid w:val="004300AC"/>
    <w:rsid w:val="00430558"/>
    <w:rsid w:val="00430A68"/>
    <w:rsid w:val="004315A8"/>
    <w:rsid w:val="00432092"/>
    <w:rsid w:val="00432F98"/>
    <w:rsid w:val="004331A1"/>
    <w:rsid w:val="00433396"/>
    <w:rsid w:val="00433533"/>
    <w:rsid w:val="00433CD3"/>
    <w:rsid w:val="00433DA7"/>
    <w:rsid w:val="00433F9F"/>
    <w:rsid w:val="004340ED"/>
    <w:rsid w:val="00434481"/>
    <w:rsid w:val="00434593"/>
    <w:rsid w:val="004347FA"/>
    <w:rsid w:val="00434857"/>
    <w:rsid w:val="00434C78"/>
    <w:rsid w:val="00435098"/>
    <w:rsid w:val="00435221"/>
    <w:rsid w:val="004354FC"/>
    <w:rsid w:val="004358AE"/>
    <w:rsid w:val="00435906"/>
    <w:rsid w:val="00435EB7"/>
    <w:rsid w:val="0043681F"/>
    <w:rsid w:val="0043691E"/>
    <w:rsid w:val="00436A4C"/>
    <w:rsid w:val="00436A9A"/>
    <w:rsid w:val="00436AC2"/>
    <w:rsid w:val="00436E1B"/>
    <w:rsid w:val="004377AB"/>
    <w:rsid w:val="0043783A"/>
    <w:rsid w:val="0043785A"/>
    <w:rsid w:val="004378C1"/>
    <w:rsid w:val="00437AF3"/>
    <w:rsid w:val="00437C52"/>
    <w:rsid w:val="004405FE"/>
    <w:rsid w:val="004407A1"/>
    <w:rsid w:val="004407ED"/>
    <w:rsid w:val="0044095C"/>
    <w:rsid w:val="004409FE"/>
    <w:rsid w:val="00440A76"/>
    <w:rsid w:val="00440C8A"/>
    <w:rsid w:val="00440CF5"/>
    <w:rsid w:val="00440D11"/>
    <w:rsid w:val="004413D9"/>
    <w:rsid w:val="004416C7"/>
    <w:rsid w:val="00441838"/>
    <w:rsid w:val="004418F7"/>
    <w:rsid w:val="0044196B"/>
    <w:rsid w:val="00441D59"/>
    <w:rsid w:val="00442018"/>
    <w:rsid w:val="00442063"/>
    <w:rsid w:val="004424E3"/>
    <w:rsid w:val="00442559"/>
    <w:rsid w:val="00442798"/>
    <w:rsid w:val="00442C62"/>
    <w:rsid w:val="00442D77"/>
    <w:rsid w:val="0044309B"/>
    <w:rsid w:val="00443301"/>
    <w:rsid w:val="004433CE"/>
    <w:rsid w:val="0044415D"/>
    <w:rsid w:val="00444162"/>
    <w:rsid w:val="004441A8"/>
    <w:rsid w:val="00444309"/>
    <w:rsid w:val="00444E8F"/>
    <w:rsid w:val="004457A2"/>
    <w:rsid w:val="00445A88"/>
    <w:rsid w:val="00445BDC"/>
    <w:rsid w:val="00445D8C"/>
    <w:rsid w:val="00445F18"/>
    <w:rsid w:val="00446704"/>
    <w:rsid w:val="0044678A"/>
    <w:rsid w:val="00446B9D"/>
    <w:rsid w:val="00446CA1"/>
    <w:rsid w:val="004473B6"/>
    <w:rsid w:val="00447525"/>
    <w:rsid w:val="00447563"/>
    <w:rsid w:val="00447728"/>
    <w:rsid w:val="00447887"/>
    <w:rsid w:val="00447AC3"/>
    <w:rsid w:val="00447CD8"/>
    <w:rsid w:val="00450762"/>
    <w:rsid w:val="00450918"/>
    <w:rsid w:val="0045094F"/>
    <w:rsid w:val="00450969"/>
    <w:rsid w:val="00450C84"/>
    <w:rsid w:val="00450DA0"/>
    <w:rsid w:val="00450DA9"/>
    <w:rsid w:val="00450ED0"/>
    <w:rsid w:val="00450F07"/>
    <w:rsid w:val="00451027"/>
    <w:rsid w:val="004511ED"/>
    <w:rsid w:val="0045157F"/>
    <w:rsid w:val="004515E9"/>
    <w:rsid w:val="0045162D"/>
    <w:rsid w:val="004516B9"/>
    <w:rsid w:val="00451B4A"/>
    <w:rsid w:val="00451C54"/>
    <w:rsid w:val="00451DB5"/>
    <w:rsid w:val="0045247E"/>
    <w:rsid w:val="0045254E"/>
    <w:rsid w:val="004527D8"/>
    <w:rsid w:val="00452BF3"/>
    <w:rsid w:val="004531BD"/>
    <w:rsid w:val="00453FD9"/>
    <w:rsid w:val="00454C9F"/>
    <w:rsid w:val="00455487"/>
    <w:rsid w:val="00455E51"/>
    <w:rsid w:val="00455EB1"/>
    <w:rsid w:val="00456404"/>
    <w:rsid w:val="00456A69"/>
    <w:rsid w:val="00456B33"/>
    <w:rsid w:val="00456FD6"/>
    <w:rsid w:val="0045708C"/>
    <w:rsid w:val="00457235"/>
    <w:rsid w:val="0045726E"/>
    <w:rsid w:val="00457A6F"/>
    <w:rsid w:val="00457C87"/>
    <w:rsid w:val="00460218"/>
    <w:rsid w:val="00460708"/>
    <w:rsid w:val="00461273"/>
    <w:rsid w:val="004616F6"/>
    <w:rsid w:val="00461706"/>
    <w:rsid w:val="00461F66"/>
    <w:rsid w:val="004620A8"/>
    <w:rsid w:val="00462835"/>
    <w:rsid w:val="0046297E"/>
    <w:rsid w:val="00462C61"/>
    <w:rsid w:val="00462FBB"/>
    <w:rsid w:val="00463018"/>
    <w:rsid w:val="004635B4"/>
    <w:rsid w:val="00463792"/>
    <w:rsid w:val="004641E9"/>
    <w:rsid w:val="0046429C"/>
    <w:rsid w:val="00464357"/>
    <w:rsid w:val="0046479C"/>
    <w:rsid w:val="004648DA"/>
    <w:rsid w:val="00464C19"/>
    <w:rsid w:val="00464D72"/>
    <w:rsid w:val="00464FD4"/>
    <w:rsid w:val="004652BA"/>
    <w:rsid w:val="00465361"/>
    <w:rsid w:val="0046544F"/>
    <w:rsid w:val="00465A59"/>
    <w:rsid w:val="00465C3F"/>
    <w:rsid w:val="00465CA4"/>
    <w:rsid w:val="00465E4D"/>
    <w:rsid w:val="00465EDD"/>
    <w:rsid w:val="00465FE4"/>
    <w:rsid w:val="00466954"/>
    <w:rsid w:val="00467132"/>
    <w:rsid w:val="004675EF"/>
    <w:rsid w:val="00467D6C"/>
    <w:rsid w:val="0047027C"/>
    <w:rsid w:val="00470371"/>
    <w:rsid w:val="00470FF8"/>
    <w:rsid w:val="0047107B"/>
    <w:rsid w:val="0047118B"/>
    <w:rsid w:val="004713AF"/>
    <w:rsid w:val="004714E0"/>
    <w:rsid w:val="00471502"/>
    <w:rsid w:val="004715BF"/>
    <w:rsid w:val="00471A65"/>
    <w:rsid w:val="00471A89"/>
    <w:rsid w:val="00471F9C"/>
    <w:rsid w:val="00472140"/>
    <w:rsid w:val="00472477"/>
    <w:rsid w:val="00472502"/>
    <w:rsid w:val="004725F5"/>
    <w:rsid w:val="00472A1A"/>
    <w:rsid w:val="00472C62"/>
    <w:rsid w:val="00472C6A"/>
    <w:rsid w:val="00472F20"/>
    <w:rsid w:val="00473033"/>
    <w:rsid w:val="004730EB"/>
    <w:rsid w:val="00473365"/>
    <w:rsid w:val="00473389"/>
    <w:rsid w:val="00473544"/>
    <w:rsid w:val="004737AA"/>
    <w:rsid w:val="00473CE9"/>
    <w:rsid w:val="00473DF1"/>
    <w:rsid w:val="004744EA"/>
    <w:rsid w:val="004745E5"/>
    <w:rsid w:val="00475567"/>
    <w:rsid w:val="004755E7"/>
    <w:rsid w:val="0047566C"/>
    <w:rsid w:val="00475C2D"/>
    <w:rsid w:val="00475CC0"/>
    <w:rsid w:val="0047600B"/>
    <w:rsid w:val="00476AC3"/>
    <w:rsid w:val="00476DFF"/>
    <w:rsid w:val="00476E85"/>
    <w:rsid w:val="004771B1"/>
    <w:rsid w:val="00477495"/>
    <w:rsid w:val="00477B42"/>
    <w:rsid w:val="00477F5B"/>
    <w:rsid w:val="00480104"/>
    <w:rsid w:val="00480BEF"/>
    <w:rsid w:val="00480D30"/>
    <w:rsid w:val="00480DC8"/>
    <w:rsid w:val="00480DCE"/>
    <w:rsid w:val="0048115F"/>
    <w:rsid w:val="004811BA"/>
    <w:rsid w:val="00481A7E"/>
    <w:rsid w:val="0048207F"/>
    <w:rsid w:val="0048237A"/>
    <w:rsid w:val="00482974"/>
    <w:rsid w:val="00482C94"/>
    <w:rsid w:val="00482F2E"/>
    <w:rsid w:val="004837DC"/>
    <w:rsid w:val="00483846"/>
    <w:rsid w:val="00483955"/>
    <w:rsid w:val="00483A86"/>
    <w:rsid w:val="00483B01"/>
    <w:rsid w:val="00483BD4"/>
    <w:rsid w:val="00483CE2"/>
    <w:rsid w:val="00483D55"/>
    <w:rsid w:val="004843B6"/>
    <w:rsid w:val="00484601"/>
    <w:rsid w:val="004847F6"/>
    <w:rsid w:val="0048484F"/>
    <w:rsid w:val="004848FB"/>
    <w:rsid w:val="00484C2A"/>
    <w:rsid w:val="00484FE2"/>
    <w:rsid w:val="004853C1"/>
    <w:rsid w:val="004858F7"/>
    <w:rsid w:val="00485CD8"/>
    <w:rsid w:val="00485E43"/>
    <w:rsid w:val="00486043"/>
    <w:rsid w:val="004860EC"/>
    <w:rsid w:val="004869A3"/>
    <w:rsid w:val="004871A2"/>
    <w:rsid w:val="00487744"/>
    <w:rsid w:val="00487ABE"/>
    <w:rsid w:val="00487F59"/>
    <w:rsid w:val="00490038"/>
    <w:rsid w:val="00490ADC"/>
    <w:rsid w:val="00490C29"/>
    <w:rsid w:val="00490CDB"/>
    <w:rsid w:val="00490D0B"/>
    <w:rsid w:val="00491824"/>
    <w:rsid w:val="00491A35"/>
    <w:rsid w:val="0049229B"/>
    <w:rsid w:val="004925F0"/>
    <w:rsid w:val="0049266E"/>
    <w:rsid w:val="0049319A"/>
    <w:rsid w:val="004931DF"/>
    <w:rsid w:val="00493511"/>
    <w:rsid w:val="004935C7"/>
    <w:rsid w:val="00493F7F"/>
    <w:rsid w:val="004943FE"/>
    <w:rsid w:val="00494556"/>
    <w:rsid w:val="00494A37"/>
    <w:rsid w:val="00494D3F"/>
    <w:rsid w:val="004951C6"/>
    <w:rsid w:val="004951C8"/>
    <w:rsid w:val="00495602"/>
    <w:rsid w:val="00496127"/>
    <w:rsid w:val="00496236"/>
    <w:rsid w:val="004962A1"/>
    <w:rsid w:val="00496419"/>
    <w:rsid w:val="00496605"/>
    <w:rsid w:val="0049684C"/>
    <w:rsid w:val="00496CB6"/>
    <w:rsid w:val="00497425"/>
    <w:rsid w:val="00497590"/>
    <w:rsid w:val="004976AF"/>
    <w:rsid w:val="0049772C"/>
    <w:rsid w:val="004977CB"/>
    <w:rsid w:val="00497AFE"/>
    <w:rsid w:val="00497D3B"/>
    <w:rsid w:val="004A0986"/>
    <w:rsid w:val="004A0BE1"/>
    <w:rsid w:val="004A0C63"/>
    <w:rsid w:val="004A0D7E"/>
    <w:rsid w:val="004A0DEC"/>
    <w:rsid w:val="004A1119"/>
    <w:rsid w:val="004A140E"/>
    <w:rsid w:val="004A154E"/>
    <w:rsid w:val="004A15D4"/>
    <w:rsid w:val="004A1784"/>
    <w:rsid w:val="004A1A0A"/>
    <w:rsid w:val="004A1C7E"/>
    <w:rsid w:val="004A2711"/>
    <w:rsid w:val="004A2A20"/>
    <w:rsid w:val="004A2A3C"/>
    <w:rsid w:val="004A2B28"/>
    <w:rsid w:val="004A2B74"/>
    <w:rsid w:val="004A3203"/>
    <w:rsid w:val="004A424B"/>
    <w:rsid w:val="004A4CDF"/>
    <w:rsid w:val="004A4D9F"/>
    <w:rsid w:val="004A4DC9"/>
    <w:rsid w:val="004A4E3E"/>
    <w:rsid w:val="004A4FEA"/>
    <w:rsid w:val="004A5148"/>
    <w:rsid w:val="004A52E7"/>
    <w:rsid w:val="004A5612"/>
    <w:rsid w:val="004A5763"/>
    <w:rsid w:val="004A5AED"/>
    <w:rsid w:val="004A5B9B"/>
    <w:rsid w:val="004A5F2E"/>
    <w:rsid w:val="004A630B"/>
    <w:rsid w:val="004A6331"/>
    <w:rsid w:val="004A6C39"/>
    <w:rsid w:val="004A70C6"/>
    <w:rsid w:val="004A73BD"/>
    <w:rsid w:val="004A743D"/>
    <w:rsid w:val="004A7740"/>
    <w:rsid w:val="004A7AF4"/>
    <w:rsid w:val="004A7D0B"/>
    <w:rsid w:val="004B000D"/>
    <w:rsid w:val="004B0431"/>
    <w:rsid w:val="004B0493"/>
    <w:rsid w:val="004B04B0"/>
    <w:rsid w:val="004B0560"/>
    <w:rsid w:val="004B05F7"/>
    <w:rsid w:val="004B08FB"/>
    <w:rsid w:val="004B0978"/>
    <w:rsid w:val="004B0B32"/>
    <w:rsid w:val="004B0B83"/>
    <w:rsid w:val="004B0B91"/>
    <w:rsid w:val="004B0C0A"/>
    <w:rsid w:val="004B0E22"/>
    <w:rsid w:val="004B1575"/>
    <w:rsid w:val="004B18B0"/>
    <w:rsid w:val="004B1ACF"/>
    <w:rsid w:val="004B1ADC"/>
    <w:rsid w:val="004B1D61"/>
    <w:rsid w:val="004B1E55"/>
    <w:rsid w:val="004B22AB"/>
    <w:rsid w:val="004B23DF"/>
    <w:rsid w:val="004B2876"/>
    <w:rsid w:val="004B29AF"/>
    <w:rsid w:val="004B2C70"/>
    <w:rsid w:val="004B2C72"/>
    <w:rsid w:val="004B36BE"/>
    <w:rsid w:val="004B3A40"/>
    <w:rsid w:val="004B3AB8"/>
    <w:rsid w:val="004B3E5E"/>
    <w:rsid w:val="004B4046"/>
    <w:rsid w:val="004B45F2"/>
    <w:rsid w:val="004B4E1E"/>
    <w:rsid w:val="004B4FC1"/>
    <w:rsid w:val="004B54EC"/>
    <w:rsid w:val="004B58A3"/>
    <w:rsid w:val="004B5951"/>
    <w:rsid w:val="004B5B70"/>
    <w:rsid w:val="004B5C89"/>
    <w:rsid w:val="004B5F3A"/>
    <w:rsid w:val="004B6230"/>
    <w:rsid w:val="004B66D9"/>
    <w:rsid w:val="004B6B2A"/>
    <w:rsid w:val="004B6B56"/>
    <w:rsid w:val="004B6FC9"/>
    <w:rsid w:val="004B7275"/>
    <w:rsid w:val="004B739C"/>
    <w:rsid w:val="004B7420"/>
    <w:rsid w:val="004B7623"/>
    <w:rsid w:val="004B7651"/>
    <w:rsid w:val="004B7661"/>
    <w:rsid w:val="004B773F"/>
    <w:rsid w:val="004B782A"/>
    <w:rsid w:val="004B790E"/>
    <w:rsid w:val="004C07EB"/>
    <w:rsid w:val="004C07FA"/>
    <w:rsid w:val="004C1351"/>
    <w:rsid w:val="004C18CC"/>
    <w:rsid w:val="004C1EA4"/>
    <w:rsid w:val="004C2580"/>
    <w:rsid w:val="004C2852"/>
    <w:rsid w:val="004C29BE"/>
    <w:rsid w:val="004C2C4F"/>
    <w:rsid w:val="004C2E50"/>
    <w:rsid w:val="004C30DF"/>
    <w:rsid w:val="004C31C4"/>
    <w:rsid w:val="004C356D"/>
    <w:rsid w:val="004C37E3"/>
    <w:rsid w:val="004C3885"/>
    <w:rsid w:val="004C3EE5"/>
    <w:rsid w:val="004C41AC"/>
    <w:rsid w:val="004C42F4"/>
    <w:rsid w:val="004C47B8"/>
    <w:rsid w:val="004C4AC2"/>
    <w:rsid w:val="004C4C0A"/>
    <w:rsid w:val="004C4C25"/>
    <w:rsid w:val="004C4C39"/>
    <w:rsid w:val="004C4D6A"/>
    <w:rsid w:val="004C542D"/>
    <w:rsid w:val="004C5906"/>
    <w:rsid w:val="004C5AD8"/>
    <w:rsid w:val="004C5C2D"/>
    <w:rsid w:val="004C62CC"/>
    <w:rsid w:val="004C723F"/>
    <w:rsid w:val="004C730D"/>
    <w:rsid w:val="004C758D"/>
    <w:rsid w:val="004C7B02"/>
    <w:rsid w:val="004D011B"/>
    <w:rsid w:val="004D019E"/>
    <w:rsid w:val="004D04AC"/>
    <w:rsid w:val="004D066C"/>
    <w:rsid w:val="004D079A"/>
    <w:rsid w:val="004D0E9C"/>
    <w:rsid w:val="004D12E5"/>
    <w:rsid w:val="004D12F1"/>
    <w:rsid w:val="004D14EF"/>
    <w:rsid w:val="004D16BA"/>
    <w:rsid w:val="004D1D60"/>
    <w:rsid w:val="004D21FA"/>
    <w:rsid w:val="004D25C5"/>
    <w:rsid w:val="004D2BEB"/>
    <w:rsid w:val="004D2C4E"/>
    <w:rsid w:val="004D2CB1"/>
    <w:rsid w:val="004D3265"/>
    <w:rsid w:val="004D34E8"/>
    <w:rsid w:val="004D3D7C"/>
    <w:rsid w:val="004D3E89"/>
    <w:rsid w:val="004D3EC9"/>
    <w:rsid w:val="004D3F21"/>
    <w:rsid w:val="004D3F92"/>
    <w:rsid w:val="004D4155"/>
    <w:rsid w:val="004D44F1"/>
    <w:rsid w:val="004D450B"/>
    <w:rsid w:val="004D4653"/>
    <w:rsid w:val="004D465A"/>
    <w:rsid w:val="004D46E2"/>
    <w:rsid w:val="004D49DA"/>
    <w:rsid w:val="004D57CE"/>
    <w:rsid w:val="004D5D65"/>
    <w:rsid w:val="004D607C"/>
    <w:rsid w:val="004D617B"/>
    <w:rsid w:val="004D627C"/>
    <w:rsid w:val="004D62FA"/>
    <w:rsid w:val="004D6E63"/>
    <w:rsid w:val="004D70B8"/>
    <w:rsid w:val="004D7339"/>
    <w:rsid w:val="004D73D3"/>
    <w:rsid w:val="004D74F9"/>
    <w:rsid w:val="004D7741"/>
    <w:rsid w:val="004D7B3B"/>
    <w:rsid w:val="004D7BA3"/>
    <w:rsid w:val="004D7C9F"/>
    <w:rsid w:val="004D7CE3"/>
    <w:rsid w:val="004D7E1C"/>
    <w:rsid w:val="004E00B8"/>
    <w:rsid w:val="004E0379"/>
    <w:rsid w:val="004E0494"/>
    <w:rsid w:val="004E08B4"/>
    <w:rsid w:val="004E0A84"/>
    <w:rsid w:val="004E0F6D"/>
    <w:rsid w:val="004E1084"/>
    <w:rsid w:val="004E1798"/>
    <w:rsid w:val="004E1BB0"/>
    <w:rsid w:val="004E208E"/>
    <w:rsid w:val="004E27E1"/>
    <w:rsid w:val="004E29C4"/>
    <w:rsid w:val="004E2FF1"/>
    <w:rsid w:val="004E353F"/>
    <w:rsid w:val="004E36D5"/>
    <w:rsid w:val="004E3A8E"/>
    <w:rsid w:val="004E41A0"/>
    <w:rsid w:val="004E433E"/>
    <w:rsid w:val="004E43F1"/>
    <w:rsid w:val="004E48FD"/>
    <w:rsid w:val="004E4CD8"/>
    <w:rsid w:val="004E4D0E"/>
    <w:rsid w:val="004E4E6D"/>
    <w:rsid w:val="004E56F3"/>
    <w:rsid w:val="004E5AFC"/>
    <w:rsid w:val="004E5E99"/>
    <w:rsid w:val="004E60C7"/>
    <w:rsid w:val="004E632B"/>
    <w:rsid w:val="004E648C"/>
    <w:rsid w:val="004E6493"/>
    <w:rsid w:val="004E668B"/>
    <w:rsid w:val="004E6AD2"/>
    <w:rsid w:val="004E6CA9"/>
    <w:rsid w:val="004E6F10"/>
    <w:rsid w:val="004E7170"/>
    <w:rsid w:val="004E74DA"/>
    <w:rsid w:val="004E7612"/>
    <w:rsid w:val="004E76FC"/>
    <w:rsid w:val="004E7D8B"/>
    <w:rsid w:val="004E7DB7"/>
    <w:rsid w:val="004F02DB"/>
    <w:rsid w:val="004F02E3"/>
    <w:rsid w:val="004F0356"/>
    <w:rsid w:val="004F0843"/>
    <w:rsid w:val="004F0FA4"/>
    <w:rsid w:val="004F13DD"/>
    <w:rsid w:val="004F1BA6"/>
    <w:rsid w:val="004F1BE3"/>
    <w:rsid w:val="004F1C50"/>
    <w:rsid w:val="004F1C95"/>
    <w:rsid w:val="004F1F55"/>
    <w:rsid w:val="004F21C3"/>
    <w:rsid w:val="004F21F7"/>
    <w:rsid w:val="004F262C"/>
    <w:rsid w:val="004F3B86"/>
    <w:rsid w:val="004F3D95"/>
    <w:rsid w:val="004F3DB5"/>
    <w:rsid w:val="004F3FFA"/>
    <w:rsid w:val="004F4180"/>
    <w:rsid w:val="004F4304"/>
    <w:rsid w:val="004F49FD"/>
    <w:rsid w:val="004F4A05"/>
    <w:rsid w:val="004F5AE5"/>
    <w:rsid w:val="004F5B0E"/>
    <w:rsid w:val="004F5C98"/>
    <w:rsid w:val="004F5F76"/>
    <w:rsid w:val="004F62B7"/>
    <w:rsid w:val="004F6493"/>
    <w:rsid w:val="004F68B4"/>
    <w:rsid w:val="004F7294"/>
    <w:rsid w:val="004F736C"/>
    <w:rsid w:val="004F741F"/>
    <w:rsid w:val="004F78DC"/>
    <w:rsid w:val="004F7B98"/>
    <w:rsid w:val="004F7FCB"/>
    <w:rsid w:val="0050010A"/>
    <w:rsid w:val="0050016E"/>
    <w:rsid w:val="00500767"/>
    <w:rsid w:val="0050123E"/>
    <w:rsid w:val="00501300"/>
    <w:rsid w:val="0050153D"/>
    <w:rsid w:val="00501730"/>
    <w:rsid w:val="0050202F"/>
    <w:rsid w:val="00502085"/>
    <w:rsid w:val="00502101"/>
    <w:rsid w:val="00502122"/>
    <w:rsid w:val="0050365B"/>
    <w:rsid w:val="0050399D"/>
    <w:rsid w:val="0050399F"/>
    <w:rsid w:val="00503A42"/>
    <w:rsid w:val="00504120"/>
    <w:rsid w:val="005041D4"/>
    <w:rsid w:val="00504680"/>
    <w:rsid w:val="00504A2A"/>
    <w:rsid w:val="00504A80"/>
    <w:rsid w:val="005056F4"/>
    <w:rsid w:val="00505B14"/>
    <w:rsid w:val="00505F6A"/>
    <w:rsid w:val="00506024"/>
    <w:rsid w:val="00506AE5"/>
    <w:rsid w:val="005071AA"/>
    <w:rsid w:val="00507238"/>
    <w:rsid w:val="005074D9"/>
    <w:rsid w:val="0050761F"/>
    <w:rsid w:val="005077D6"/>
    <w:rsid w:val="005078B7"/>
    <w:rsid w:val="00507C16"/>
    <w:rsid w:val="00507C9F"/>
    <w:rsid w:val="00507F0A"/>
    <w:rsid w:val="00510051"/>
    <w:rsid w:val="005101A9"/>
    <w:rsid w:val="005104E8"/>
    <w:rsid w:val="005105D5"/>
    <w:rsid w:val="00510876"/>
    <w:rsid w:val="00510ABE"/>
    <w:rsid w:val="00510CB0"/>
    <w:rsid w:val="00510D7E"/>
    <w:rsid w:val="00511259"/>
    <w:rsid w:val="00511609"/>
    <w:rsid w:val="00511797"/>
    <w:rsid w:val="00511910"/>
    <w:rsid w:val="00511B0A"/>
    <w:rsid w:val="00511B2D"/>
    <w:rsid w:val="00511CB5"/>
    <w:rsid w:val="00511E46"/>
    <w:rsid w:val="00511F7C"/>
    <w:rsid w:val="00512108"/>
    <w:rsid w:val="005121C2"/>
    <w:rsid w:val="005125FE"/>
    <w:rsid w:val="005126BD"/>
    <w:rsid w:val="005131DD"/>
    <w:rsid w:val="00513743"/>
    <w:rsid w:val="00513759"/>
    <w:rsid w:val="00513A26"/>
    <w:rsid w:val="00513BB5"/>
    <w:rsid w:val="00513D72"/>
    <w:rsid w:val="005141D0"/>
    <w:rsid w:val="005143E7"/>
    <w:rsid w:val="0051446B"/>
    <w:rsid w:val="005146A1"/>
    <w:rsid w:val="00514768"/>
    <w:rsid w:val="005147F5"/>
    <w:rsid w:val="005155F3"/>
    <w:rsid w:val="00515620"/>
    <w:rsid w:val="00515A32"/>
    <w:rsid w:val="00515DA8"/>
    <w:rsid w:val="00515DF8"/>
    <w:rsid w:val="00515EE3"/>
    <w:rsid w:val="005162A9"/>
    <w:rsid w:val="005164C8"/>
    <w:rsid w:val="00516536"/>
    <w:rsid w:val="00516EAF"/>
    <w:rsid w:val="005176B5"/>
    <w:rsid w:val="00517CAF"/>
    <w:rsid w:val="00520BB6"/>
    <w:rsid w:val="00520BC9"/>
    <w:rsid w:val="00520DBD"/>
    <w:rsid w:val="00521380"/>
    <w:rsid w:val="005215DE"/>
    <w:rsid w:val="00521C39"/>
    <w:rsid w:val="00521C6B"/>
    <w:rsid w:val="00521E8A"/>
    <w:rsid w:val="0052214F"/>
    <w:rsid w:val="0052239A"/>
    <w:rsid w:val="005225BA"/>
    <w:rsid w:val="00522833"/>
    <w:rsid w:val="00522BD7"/>
    <w:rsid w:val="00522CB2"/>
    <w:rsid w:val="0052328E"/>
    <w:rsid w:val="005232DF"/>
    <w:rsid w:val="00523581"/>
    <w:rsid w:val="00523625"/>
    <w:rsid w:val="005236C0"/>
    <w:rsid w:val="00523AC7"/>
    <w:rsid w:val="00523B27"/>
    <w:rsid w:val="00523B76"/>
    <w:rsid w:val="00523BE2"/>
    <w:rsid w:val="00523C9E"/>
    <w:rsid w:val="00524109"/>
    <w:rsid w:val="005244BB"/>
    <w:rsid w:val="00524534"/>
    <w:rsid w:val="0052478D"/>
    <w:rsid w:val="005247F6"/>
    <w:rsid w:val="0052481D"/>
    <w:rsid w:val="00524B6C"/>
    <w:rsid w:val="00525201"/>
    <w:rsid w:val="005255B7"/>
    <w:rsid w:val="005257E4"/>
    <w:rsid w:val="005258A1"/>
    <w:rsid w:val="0052594F"/>
    <w:rsid w:val="00525A4A"/>
    <w:rsid w:val="00525B52"/>
    <w:rsid w:val="00525E79"/>
    <w:rsid w:val="00526393"/>
    <w:rsid w:val="005267EE"/>
    <w:rsid w:val="00526B71"/>
    <w:rsid w:val="00526D02"/>
    <w:rsid w:val="00526F83"/>
    <w:rsid w:val="005273C1"/>
    <w:rsid w:val="0052754B"/>
    <w:rsid w:val="0052798E"/>
    <w:rsid w:val="00527D2C"/>
    <w:rsid w:val="00530091"/>
    <w:rsid w:val="0053047F"/>
    <w:rsid w:val="00530585"/>
    <w:rsid w:val="00530775"/>
    <w:rsid w:val="00530F91"/>
    <w:rsid w:val="0053136A"/>
    <w:rsid w:val="00531376"/>
    <w:rsid w:val="0053186E"/>
    <w:rsid w:val="00531950"/>
    <w:rsid w:val="005320A4"/>
    <w:rsid w:val="00532B66"/>
    <w:rsid w:val="005332FE"/>
    <w:rsid w:val="00533B63"/>
    <w:rsid w:val="00533C1F"/>
    <w:rsid w:val="00533F3C"/>
    <w:rsid w:val="00533F4D"/>
    <w:rsid w:val="00533F62"/>
    <w:rsid w:val="00534803"/>
    <w:rsid w:val="0053490D"/>
    <w:rsid w:val="00534E19"/>
    <w:rsid w:val="0053529E"/>
    <w:rsid w:val="005352BB"/>
    <w:rsid w:val="00535608"/>
    <w:rsid w:val="00535755"/>
    <w:rsid w:val="00535979"/>
    <w:rsid w:val="0053614E"/>
    <w:rsid w:val="005361BF"/>
    <w:rsid w:val="005363DC"/>
    <w:rsid w:val="00536569"/>
    <w:rsid w:val="005366D7"/>
    <w:rsid w:val="00536D51"/>
    <w:rsid w:val="00537110"/>
    <w:rsid w:val="00537446"/>
    <w:rsid w:val="0053769F"/>
    <w:rsid w:val="00537BD1"/>
    <w:rsid w:val="00537FDB"/>
    <w:rsid w:val="0054088B"/>
    <w:rsid w:val="0054088E"/>
    <w:rsid w:val="005408E1"/>
    <w:rsid w:val="0054095F"/>
    <w:rsid w:val="005411D3"/>
    <w:rsid w:val="005412FF"/>
    <w:rsid w:val="005416D8"/>
    <w:rsid w:val="00541CCA"/>
    <w:rsid w:val="00541F46"/>
    <w:rsid w:val="00542459"/>
    <w:rsid w:val="00542940"/>
    <w:rsid w:val="00542A23"/>
    <w:rsid w:val="00542C75"/>
    <w:rsid w:val="0054307D"/>
    <w:rsid w:val="0054316A"/>
    <w:rsid w:val="005436C2"/>
    <w:rsid w:val="00543912"/>
    <w:rsid w:val="00543A25"/>
    <w:rsid w:val="00543B23"/>
    <w:rsid w:val="00543BDD"/>
    <w:rsid w:val="00543C9A"/>
    <w:rsid w:val="00543EC7"/>
    <w:rsid w:val="0054418B"/>
    <w:rsid w:val="005441C8"/>
    <w:rsid w:val="00544313"/>
    <w:rsid w:val="00544673"/>
    <w:rsid w:val="00544AE2"/>
    <w:rsid w:val="00544C06"/>
    <w:rsid w:val="00545663"/>
    <w:rsid w:val="00545883"/>
    <w:rsid w:val="00545C6E"/>
    <w:rsid w:val="00545EBB"/>
    <w:rsid w:val="00546213"/>
    <w:rsid w:val="00546A83"/>
    <w:rsid w:val="00546C02"/>
    <w:rsid w:val="00546D29"/>
    <w:rsid w:val="00546E34"/>
    <w:rsid w:val="0054706D"/>
    <w:rsid w:val="00547414"/>
    <w:rsid w:val="00547536"/>
    <w:rsid w:val="0054759F"/>
    <w:rsid w:val="005475A2"/>
    <w:rsid w:val="005501B7"/>
    <w:rsid w:val="005501F6"/>
    <w:rsid w:val="00550652"/>
    <w:rsid w:val="0055096A"/>
    <w:rsid w:val="00550DE7"/>
    <w:rsid w:val="00551018"/>
    <w:rsid w:val="00551182"/>
    <w:rsid w:val="005511E5"/>
    <w:rsid w:val="005516C9"/>
    <w:rsid w:val="00551823"/>
    <w:rsid w:val="00551B78"/>
    <w:rsid w:val="00551BE9"/>
    <w:rsid w:val="00551C5C"/>
    <w:rsid w:val="00551E99"/>
    <w:rsid w:val="005527CD"/>
    <w:rsid w:val="00552BFA"/>
    <w:rsid w:val="00552CA7"/>
    <w:rsid w:val="00552F26"/>
    <w:rsid w:val="005530C8"/>
    <w:rsid w:val="0055322C"/>
    <w:rsid w:val="00553344"/>
    <w:rsid w:val="005538B1"/>
    <w:rsid w:val="005539B8"/>
    <w:rsid w:val="00553AE4"/>
    <w:rsid w:val="00553FF0"/>
    <w:rsid w:val="005540D8"/>
    <w:rsid w:val="005540DB"/>
    <w:rsid w:val="005542F4"/>
    <w:rsid w:val="00554521"/>
    <w:rsid w:val="0055469B"/>
    <w:rsid w:val="0055489A"/>
    <w:rsid w:val="00554946"/>
    <w:rsid w:val="00554BF3"/>
    <w:rsid w:val="005552F1"/>
    <w:rsid w:val="00555526"/>
    <w:rsid w:val="00555A5A"/>
    <w:rsid w:val="00555AB4"/>
    <w:rsid w:val="00555CCA"/>
    <w:rsid w:val="00556557"/>
    <w:rsid w:val="00556862"/>
    <w:rsid w:val="00556C68"/>
    <w:rsid w:val="00556E2F"/>
    <w:rsid w:val="0055712A"/>
    <w:rsid w:val="00557496"/>
    <w:rsid w:val="005575C7"/>
    <w:rsid w:val="00557C42"/>
    <w:rsid w:val="00557DDF"/>
    <w:rsid w:val="005608A2"/>
    <w:rsid w:val="005608A6"/>
    <w:rsid w:val="00560959"/>
    <w:rsid w:val="00560E33"/>
    <w:rsid w:val="00561055"/>
    <w:rsid w:val="005611BF"/>
    <w:rsid w:val="00561211"/>
    <w:rsid w:val="00561B05"/>
    <w:rsid w:val="0056227B"/>
    <w:rsid w:val="005623FF"/>
    <w:rsid w:val="0056291F"/>
    <w:rsid w:val="00562BA7"/>
    <w:rsid w:val="00562C34"/>
    <w:rsid w:val="00562C83"/>
    <w:rsid w:val="00562C8D"/>
    <w:rsid w:val="00562D0D"/>
    <w:rsid w:val="00563399"/>
    <w:rsid w:val="005636D5"/>
    <w:rsid w:val="00563964"/>
    <w:rsid w:val="00563D9D"/>
    <w:rsid w:val="00563DBB"/>
    <w:rsid w:val="00563E8D"/>
    <w:rsid w:val="005640EF"/>
    <w:rsid w:val="005645B6"/>
    <w:rsid w:val="00564AC3"/>
    <w:rsid w:val="00565738"/>
    <w:rsid w:val="00565B30"/>
    <w:rsid w:val="00565D38"/>
    <w:rsid w:val="005660A6"/>
    <w:rsid w:val="00566399"/>
    <w:rsid w:val="00566831"/>
    <w:rsid w:val="00566E95"/>
    <w:rsid w:val="00567017"/>
    <w:rsid w:val="0056739E"/>
    <w:rsid w:val="005673F6"/>
    <w:rsid w:val="0056744C"/>
    <w:rsid w:val="00567635"/>
    <w:rsid w:val="00570298"/>
    <w:rsid w:val="0057082F"/>
    <w:rsid w:val="00570B34"/>
    <w:rsid w:val="00570EC3"/>
    <w:rsid w:val="00571659"/>
    <w:rsid w:val="005716D3"/>
    <w:rsid w:val="005719BA"/>
    <w:rsid w:val="00571D1D"/>
    <w:rsid w:val="005726CA"/>
    <w:rsid w:val="005728BF"/>
    <w:rsid w:val="00572C6F"/>
    <w:rsid w:val="00573504"/>
    <w:rsid w:val="005736B1"/>
    <w:rsid w:val="00573CE5"/>
    <w:rsid w:val="00573EDF"/>
    <w:rsid w:val="005742AA"/>
    <w:rsid w:val="00574317"/>
    <w:rsid w:val="00574321"/>
    <w:rsid w:val="00574504"/>
    <w:rsid w:val="00574AB1"/>
    <w:rsid w:val="00574C29"/>
    <w:rsid w:val="00574DA1"/>
    <w:rsid w:val="00574FE2"/>
    <w:rsid w:val="0057550B"/>
    <w:rsid w:val="00575688"/>
    <w:rsid w:val="00575704"/>
    <w:rsid w:val="005759FC"/>
    <w:rsid w:val="00575B31"/>
    <w:rsid w:val="00576190"/>
    <w:rsid w:val="00576336"/>
    <w:rsid w:val="00576591"/>
    <w:rsid w:val="005767B3"/>
    <w:rsid w:val="0057743B"/>
    <w:rsid w:val="0057753E"/>
    <w:rsid w:val="00577723"/>
    <w:rsid w:val="0057780D"/>
    <w:rsid w:val="005778FF"/>
    <w:rsid w:val="005779AF"/>
    <w:rsid w:val="00577A5B"/>
    <w:rsid w:val="00577AD2"/>
    <w:rsid w:val="00577B49"/>
    <w:rsid w:val="00577F34"/>
    <w:rsid w:val="00577F9B"/>
    <w:rsid w:val="00580006"/>
    <w:rsid w:val="00580021"/>
    <w:rsid w:val="00580075"/>
    <w:rsid w:val="00580D0B"/>
    <w:rsid w:val="00580D0D"/>
    <w:rsid w:val="00580D97"/>
    <w:rsid w:val="00581472"/>
    <w:rsid w:val="0058155C"/>
    <w:rsid w:val="00581A46"/>
    <w:rsid w:val="00581FA1"/>
    <w:rsid w:val="00582200"/>
    <w:rsid w:val="00582B65"/>
    <w:rsid w:val="00582D76"/>
    <w:rsid w:val="005831B5"/>
    <w:rsid w:val="00583391"/>
    <w:rsid w:val="0058369F"/>
    <w:rsid w:val="005837AE"/>
    <w:rsid w:val="00583A04"/>
    <w:rsid w:val="00583E0A"/>
    <w:rsid w:val="00584441"/>
    <w:rsid w:val="00584A7F"/>
    <w:rsid w:val="00584F1A"/>
    <w:rsid w:val="0058509F"/>
    <w:rsid w:val="00585327"/>
    <w:rsid w:val="00585427"/>
    <w:rsid w:val="005857FC"/>
    <w:rsid w:val="005858E0"/>
    <w:rsid w:val="00585A5B"/>
    <w:rsid w:val="005862DD"/>
    <w:rsid w:val="0058637C"/>
    <w:rsid w:val="00586556"/>
    <w:rsid w:val="00586577"/>
    <w:rsid w:val="00586BAE"/>
    <w:rsid w:val="00586FE7"/>
    <w:rsid w:val="00587167"/>
    <w:rsid w:val="00587193"/>
    <w:rsid w:val="00587712"/>
    <w:rsid w:val="005879AD"/>
    <w:rsid w:val="00587A7E"/>
    <w:rsid w:val="00587B55"/>
    <w:rsid w:val="00587D36"/>
    <w:rsid w:val="00587F7C"/>
    <w:rsid w:val="00590AA7"/>
    <w:rsid w:val="00590D8B"/>
    <w:rsid w:val="0059119C"/>
    <w:rsid w:val="0059151D"/>
    <w:rsid w:val="005915D5"/>
    <w:rsid w:val="00591D22"/>
    <w:rsid w:val="0059200A"/>
    <w:rsid w:val="00592239"/>
    <w:rsid w:val="00592428"/>
    <w:rsid w:val="00593089"/>
    <w:rsid w:val="00593103"/>
    <w:rsid w:val="00593EC0"/>
    <w:rsid w:val="00593F20"/>
    <w:rsid w:val="005941E6"/>
    <w:rsid w:val="005947C0"/>
    <w:rsid w:val="0059488B"/>
    <w:rsid w:val="00594C68"/>
    <w:rsid w:val="005950A2"/>
    <w:rsid w:val="005951AB"/>
    <w:rsid w:val="00595229"/>
    <w:rsid w:val="005952B5"/>
    <w:rsid w:val="00595480"/>
    <w:rsid w:val="00595CA9"/>
    <w:rsid w:val="00595D46"/>
    <w:rsid w:val="005961F8"/>
    <w:rsid w:val="00596484"/>
    <w:rsid w:val="00596A67"/>
    <w:rsid w:val="00596AFA"/>
    <w:rsid w:val="005973A5"/>
    <w:rsid w:val="00597459"/>
    <w:rsid w:val="005975F9"/>
    <w:rsid w:val="005976EE"/>
    <w:rsid w:val="00597741"/>
    <w:rsid w:val="005979CD"/>
    <w:rsid w:val="005979E7"/>
    <w:rsid w:val="00597E57"/>
    <w:rsid w:val="005A052A"/>
    <w:rsid w:val="005A08A2"/>
    <w:rsid w:val="005A0B6B"/>
    <w:rsid w:val="005A0BCA"/>
    <w:rsid w:val="005A0E43"/>
    <w:rsid w:val="005A0EE3"/>
    <w:rsid w:val="005A0F17"/>
    <w:rsid w:val="005A0F73"/>
    <w:rsid w:val="005A1700"/>
    <w:rsid w:val="005A1721"/>
    <w:rsid w:val="005A1798"/>
    <w:rsid w:val="005A2178"/>
    <w:rsid w:val="005A21CE"/>
    <w:rsid w:val="005A27D3"/>
    <w:rsid w:val="005A2930"/>
    <w:rsid w:val="005A2C23"/>
    <w:rsid w:val="005A2CF2"/>
    <w:rsid w:val="005A2D45"/>
    <w:rsid w:val="005A320B"/>
    <w:rsid w:val="005A42D9"/>
    <w:rsid w:val="005A447A"/>
    <w:rsid w:val="005A450D"/>
    <w:rsid w:val="005A48A7"/>
    <w:rsid w:val="005A4CBD"/>
    <w:rsid w:val="005A57AF"/>
    <w:rsid w:val="005A5808"/>
    <w:rsid w:val="005A59FF"/>
    <w:rsid w:val="005A5A84"/>
    <w:rsid w:val="005A5B09"/>
    <w:rsid w:val="005A5FCE"/>
    <w:rsid w:val="005A6039"/>
    <w:rsid w:val="005A663E"/>
    <w:rsid w:val="005A67E7"/>
    <w:rsid w:val="005A6BA4"/>
    <w:rsid w:val="005A6F0B"/>
    <w:rsid w:val="005A6F26"/>
    <w:rsid w:val="005A75F5"/>
    <w:rsid w:val="005A7733"/>
    <w:rsid w:val="005A79C5"/>
    <w:rsid w:val="005B0240"/>
    <w:rsid w:val="005B03FA"/>
    <w:rsid w:val="005B0DEE"/>
    <w:rsid w:val="005B0F5F"/>
    <w:rsid w:val="005B1653"/>
    <w:rsid w:val="005B1856"/>
    <w:rsid w:val="005B1B8C"/>
    <w:rsid w:val="005B1ECB"/>
    <w:rsid w:val="005B21A0"/>
    <w:rsid w:val="005B2617"/>
    <w:rsid w:val="005B2809"/>
    <w:rsid w:val="005B2906"/>
    <w:rsid w:val="005B3344"/>
    <w:rsid w:val="005B3481"/>
    <w:rsid w:val="005B370B"/>
    <w:rsid w:val="005B37D7"/>
    <w:rsid w:val="005B3919"/>
    <w:rsid w:val="005B3991"/>
    <w:rsid w:val="005B3B16"/>
    <w:rsid w:val="005B3C5A"/>
    <w:rsid w:val="005B429C"/>
    <w:rsid w:val="005B44DB"/>
    <w:rsid w:val="005B4501"/>
    <w:rsid w:val="005B4D7E"/>
    <w:rsid w:val="005B4EB0"/>
    <w:rsid w:val="005B55E9"/>
    <w:rsid w:val="005B581D"/>
    <w:rsid w:val="005B588A"/>
    <w:rsid w:val="005B592C"/>
    <w:rsid w:val="005B5D6C"/>
    <w:rsid w:val="005B5E05"/>
    <w:rsid w:val="005B626B"/>
    <w:rsid w:val="005B6321"/>
    <w:rsid w:val="005B69ED"/>
    <w:rsid w:val="005B6AD8"/>
    <w:rsid w:val="005B6B29"/>
    <w:rsid w:val="005B6CFB"/>
    <w:rsid w:val="005B6D3E"/>
    <w:rsid w:val="005B6DEC"/>
    <w:rsid w:val="005B6EC8"/>
    <w:rsid w:val="005B7155"/>
    <w:rsid w:val="005B736D"/>
    <w:rsid w:val="005B7617"/>
    <w:rsid w:val="005B78DC"/>
    <w:rsid w:val="005B791C"/>
    <w:rsid w:val="005B7CCD"/>
    <w:rsid w:val="005C06D9"/>
    <w:rsid w:val="005C0A62"/>
    <w:rsid w:val="005C0D54"/>
    <w:rsid w:val="005C16C4"/>
    <w:rsid w:val="005C1BA4"/>
    <w:rsid w:val="005C1C06"/>
    <w:rsid w:val="005C1C5C"/>
    <w:rsid w:val="005C279D"/>
    <w:rsid w:val="005C2CCC"/>
    <w:rsid w:val="005C2CF8"/>
    <w:rsid w:val="005C2F4B"/>
    <w:rsid w:val="005C3189"/>
    <w:rsid w:val="005C32D3"/>
    <w:rsid w:val="005C345B"/>
    <w:rsid w:val="005C3543"/>
    <w:rsid w:val="005C35D4"/>
    <w:rsid w:val="005C3636"/>
    <w:rsid w:val="005C3821"/>
    <w:rsid w:val="005C393E"/>
    <w:rsid w:val="005C3FA4"/>
    <w:rsid w:val="005C4211"/>
    <w:rsid w:val="005C447A"/>
    <w:rsid w:val="005C44DE"/>
    <w:rsid w:val="005C465E"/>
    <w:rsid w:val="005C48DC"/>
    <w:rsid w:val="005C4DD9"/>
    <w:rsid w:val="005C4E07"/>
    <w:rsid w:val="005C5108"/>
    <w:rsid w:val="005C5184"/>
    <w:rsid w:val="005C51D8"/>
    <w:rsid w:val="005C5211"/>
    <w:rsid w:val="005C53BB"/>
    <w:rsid w:val="005C58A0"/>
    <w:rsid w:val="005C5A5D"/>
    <w:rsid w:val="005C6027"/>
    <w:rsid w:val="005C60BA"/>
    <w:rsid w:val="005C658C"/>
    <w:rsid w:val="005C70CC"/>
    <w:rsid w:val="005C734C"/>
    <w:rsid w:val="005C755F"/>
    <w:rsid w:val="005C774D"/>
    <w:rsid w:val="005C7850"/>
    <w:rsid w:val="005C79F4"/>
    <w:rsid w:val="005C7B2B"/>
    <w:rsid w:val="005C7E1D"/>
    <w:rsid w:val="005C7EBC"/>
    <w:rsid w:val="005D02E5"/>
    <w:rsid w:val="005D0343"/>
    <w:rsid w:val="005D03B6"/>
    <w:rsid w:val="005D0720"/>
    <w:rsid w:val="005D0842"/>
    <w:rsid w:val="005D0980"/>
    <w:rsid w:val="005D10C6"/>
    <w:rsid w:val="005D13B8"/>
    <w:rsid w:val="005D1489"/>
    <w:rsid w:val="005D1675"/>
    <w:rsid w:val="005D196D"/>
    <w:rsid w:val="005D1A2E"/>
    <w:rsid w:val="005D1BA1"/>
    <w:rsid w:val="005D1BE5"/>
    <w:rsid w:val="005D2114"/>
    <w:rsid w:val="005D250C"/>
    <w:rsid w:val="005D2AB0"/>
    <w:rsid w:val="005D2AD3"/>
    <w:rsid w:val="005D30D5"/>
    <w:rsid w:val="005D3BDD"/>
    <w:rsid w:val="005D40DB"/>
    <w:rsid w:val="005D4628"/>
    <w:rsid w:val="005D4A64"/>
    <w:rsid w:val="005D5111"/>
    <w:rsid w:val="005D536C"/>
    <w:rsid w:val="005D53F1"/>
    <w:rsid w:val="005D573F"/>
    <w:rsid w:val="005D5973"/>
    <w:rsid w:val="005D59F8"/>
    <w:rsid w:val="005D5B4E"/>
    <w:rsid w:val="005D601D"/>
    <w:rsid w:val="005D6C9B"/>
    <w:rsid w:val="005D6F11"/>
    <w:rsid w:val="005D6F89"/>
    <w:rsid w:val="005D729F"/>
    <w:rsid w:val="005D757B"/>
    <w:rsid w:val="005D792E"/>
    <w:rsid w:val="005D7F6E"/>
    <w:rsid w:val="005E030B"/>
    <w:rsid w:val="005E0A62"/>
    <w:rsid w:val="005E0F8C"/>
    <w:rsid w:val="005E13E0"/>
    <w:rsid w:val="005E15A0"/>
    <w:rsid w:val="005E1EE9"/>
    <w:rsid w:val="005E2237"/>
    <w:rsid w:val="005E268B"/>
    <w:rsid w:val="005E28CF"/>
    <w:rsid w:val="005E2F2F"/>
    <w:rsid w:val="005E2F3F"/>
    <w:rsid w:val="005E30EB"/>
    <w:rsid w:val="005E3192"/>
    <w:rsid w:val="005E35CC"/>
    <w:rsid w:val="005E36D0"/>
    <w:rsid w:val="005E37FF"/>
    <w:rsid w:val="005E38DC"/>
    <w:rsid w:val="005E3957"/>
    <w:rsid w:val="005E469E"/>
    <w:rsid w:val="005E46D4"/>
    <w:rsid w:val="005E48D2"/>
    <w:rsid w:val="005E4BAA"/>
    <w:rsid w:val="005E4C45"/>
    <w:rsid w:val="005E513B"/>
    <w:rsid w:val="005E52D6"/>
    <w:rsid w:val="005E54C1"/>
    <w:rsid w:val="005E574F"/>
    <w:rsid w:val="005E576D"/>
    <w:rsid w:val="005E5AD1"/>
    <w:rsid w:val="005E5AFA"/>
    <w:rsid w:val="005E613A"/>
    <w:rsid w:val="005E63CD"/>
    <w:rsid w:val="005E6585"/>
    <w:rsid w:val="005E68EE"/>
    <w:rsid w:val="005E6B82"/>
    <w:rsid w:val="005E6BD2"/>
    <w:rsid w:val="005E6CC9"/>
    <w:rsid w:val="005E7323"/>
    <w:rsid w:val="005E789F"/>
    <w:rsid w:val="005E7B5F"/>
    <w:rsid w:val="005E7D1E"/>
    <w:rsid w:val="005E7E41"/>
    <w:rsid w:val="005E7E72"/>
    <w:rsid w:val="005F04E1"/>
    <w:rsid w:val="005F0D67"/>
    <w:rsid w:val="005F0DD6"/>
    <w:rsid w:val="005F0FD9"/>
    <w:rsid w:val="005F1303"/>
    <w:rsid w:val="005F1441"/>
    <w:rsid w:val="005F19A6"/>
    <w:rsid w:val="005F1EA8"/>
    <w:rsid w:val="005F219A"/>
    <w:rsid w:val="005F2214"/>
    <w:rsid w:val="005F26DE"/>
    <w:rsid w:val="005F279A"/>
    <w:rsid w:val="005F2C6B"/>
    <w:rsid w:val="005F2FD1"/>
    <w:rsid w:val="005F330F"/>
    <w:rsid w:val="005F34A3"/>
    <w:rsid w:val="005F37C4"/>
    <w:rsid w:val="005F3B5F"/>
    <w:rsid w:val="005F3E8E"/>
    <w:rsid w:val="005F427C"/>
    <w:rsid w:val="005F463A"/>
    <w:rsid w:val="005F493C"/>
    <w:rsid w:val="005F49EF"/>
    <w:rsid w:val="005F4CE3"/>
    <w:rsid w:val="005F4DB7"/>
    <w:rsid w:val="005F4F01"/>
    <w:rsid w:val="005F5771"/>
    <w:rsid w:val="005F5C1F"/>
    <w:rsid w:val="005F5CA2"/>
    <w:rsid w:val="005F5CF7"/>
    <w:rsid w:val="005F5F03"/>
    <w:rsid w:val="005F5FB1"/>
    <w:rsid w:val="005F63D4"/>
    <w:rsid w:val="005F6471"/>
    <w:rsid w:val="005F64AC"/>
    <w:rsid w:val="005F64BF"/>
    <w:rsid w:val="005F677B"/>
    <w:rsid w:val="005F690F"/>
    <w:rsid w:val="005F6F93"/>
    <w:rsid w:val="005F72CA"/>
    <w:rsid w:val="005F7330"/>
    <w:rsid w:val="005F7619"/>
    <w:rsid w:val="005F7692"/>
    <w:rsid w:val="005F799C"/>
    <w:rsid w:val="005F7B06"/>
    <w:rsid w:val="005F7DF5"/>
    <w:rsid w:val="00600035"/>
    <w:rsid w:val="0060018E"/>
    <w:rsid w:val="006003F0"/>
    <w:rsid w:val="006004B9"/>
    <w:rsid w:val="00600629"/>
    <w:rsid w:val="006006D5"/>
    <w:rsid w:val="006008F7"/>
    <w:rsid w:val="006009E2"/>
    <w:rsid w:val="00601563"/>
    <w:rsid w:val="0060195B"/>
    <w:rsid w:val="00601AD5"/>
    <w:rsid w:val="00601B88"/>
    <w:rsid w:val="00601DB3"/>
    <w:rsid w:val="00602345"/>
    <w:rsid w:val="006025AF"/>
    <w:rsid w:val="006025ED"/>
    <w:rsid w:val="00602BCF"/>
    <w:rsid w:val="00602D51"/>
    <w:rsid w:val="0060342B"/>
    <w:rsid w:val="006038D2"/>
    <w:rsid w:val="00603C0F"/>
    <w:rsid w:val="00603CCA"/>
    <w:rsid w:val="006040F9"/>
    <w:rsid w:val="0060423A"/>
    <w:rsid w:val="006044B7"/>
    <w:rsid w:val="006045D3"/>
    <w:rsid w:val="006053CC"/>
    <w:rsid w:val="00606115"/>
    <w:rsid w:val="00606198"/>
    <w:rsid w:val="006061A4"/>
    <w:rsid w:val="00606397"/>
    <w:rsid w:val="00606476"/>
    <w:rsid w:val="006066F6"/>
    <w:rsid w:val="00606A41"/>
    <w:rsid w:val="00606BB6"/>
    <w:rsid w:val="00607031"/>
    <w:rsid w:val="00607EF8"/>
    <w:rsid w:val="0061045A"/>
    <w:rsid w:val="006106C7"/>
    <w:rsid w:val="006109AC"/>
    <w:rsid w:val="00610A64"/>
    <w:rsid w:val="00610C8A"/>
    <w:rsid w:val="00610D21"/>
    <w:rsid w:val="00610E63"/>
    <w:rsid w:val="00610FA4"/>
    <w:rsid w:val="006110E0"/>
    <w:rsid w:val="00611B85"/>
    <w:rsid w:val="006121FB"/>
    <w:rsid w:val="00612289"/>
    <w:rsid w:val="00612525"/>
    <w:rsid w:val="006126F1"/>
    <w:rsid w:val="00612D85"/>
    <w:rsid w:val="00612F22"/>
    <w:rsid w:val="00613020"/>
    <w:rsid w:val="0061319A"/>
    <w:rsid w:val="00613C43"/>
    <w:rsid w:val="00613E1B"/>
    <w:rsid w:val="00613EB4"/>
    <w:rsid w:val="00614549"/>
    <w:rsid w:val="0061456D"/>
    <w:rsid w:val="0061459E"/>
    <w:rsid w:val="006148A1"/>
    <w:rsid w:val="00614BDC"/>
    <w:rsid w:val="00614C70"/>
    <w:rsid w:val="00614E5A"/>
    <w:rsid w:val="006157AA"/>
    <w:rsid w:val="006157C5"/>
    <w:rsid w:val="00615B41"/>
    <w:rsid w:val="00615B75"/>
    <w:rsid w:val="00616166"/>
    <w:rsid w:val="006162C3"/>
    <w:rsid w:val="0061699D"/>
    <w:rsid w:val="00616D0A"/>
    <w:rsid w:val="00616EFA"/>
    <w:rsid w:val="00616F20"/>
    <w:rsid w:val="00617781"/>
    <w:rsid w:val="00617C81"/>
    <w:rsid w:val="00617D66"/>
    <w:rsid w:val="0062013D"/>
    <w:rsid w:val="006201CB"/>
    <w:rsid w:val="00620611"/>
    <w:rsid w:val="00620905"/>
    <w:rsid w:val="00620D37"/>
    <w:rsid w:val="0062115F"/>
    <w:rsid w:val="0062131B"/>
    <w:rsid w:val="006217CF"/>
    <w:rsid w:val="00621A9B"/>
    <w:rsid w:val="00621BF9"/>
    <w:rsid w:val="00621DAF"/>
    <w:rsid w:val="00621FE1"/>
    <w:rsid w:val="0062215E"/>
    <w:rsid w:val="0062261D"/>
    <w:rsid w:val="0062279E"/>
    <w:rsid w:val="00622B6E"/>
    <w:rsid w:val="00622BC3"/>
    <w:rsid w:val="00622ED6"/>
    <w:rsid w:val="00622F64"/>
    <w:rsid w:val="006231DE"/>
    <w:rsid w:val="0062325B"/>
    <w:rsid w:val="00623282"/>
    <w:rsid w:val="0062379F"/>
    <w:rsid w:val="0062391C"/>
    <w:rsid w:val="00623B1B"/>
    <w:rsid w:val="00623B64"/>
    <w:rsid w:val="006244FC"/>
    <w:rsid w:val="006246FD"/>
    <w:rsid w:val="00624E95"/>
    <w:rsid w:val="006250B0"/>
    <w:rsid w:val="0062558C"/>
    <w:rsid w:val="00625B4A"/>
    <w:rsid w:val="00625CB4"/>
    <w:rsid w:val="00625CEE"/>
    <w:rsid w:val="00625D22"/>
    <w:rsid w:val="00625E85"/>
    <w:rsid w:val="006264AD"/>
    <w:rsid w:val="00626639"/>
    <w:rsid w:val="00626A36"/>
    <w:rsid w:val="00626DF2"/>
    <w:rsid w:val="0062723E"/>
    <w:rsid w:val="00627368"/>
    <w:rsid w:val="006276D2"/>
    <w:rsid w:val="006277D4"/>
    <w:rsid w:val="00627E06"/>
    <w:rsid w:val="00627E3A"/>
    <w:rsid w:val="0063082F"/>
    <w:rsid w:val="00630990"/>
    <w:rsid w:val="00630C12"/>
    <w:rsid w:val="00631026"/>
    <w:rsid w:val="0063135D"/>
    <w:rsid w:val="00631734"/>
    <w:rsid w:val="0063217F"/>
    <w:rsid w:val="00632B89"/>
    <w:rsid w:val="00632E05"/>
    <w:rsid w:val="0063301D"/>
    <w:rsid w:val="0063361E"/>
    <w:rsid w:val="006336C7"/>
    <w:rsid w:val="00633F10"/>
    <w:rsid w:val="006341A0"/>
    <w:rsid w:val="006342A4"/>
    <w:rsid w:val="006348BF"/>
    <w:rsid w:val="00634C85"/>
    <w:rsid w:val="00634CD3"/>
    <w:rsid w:val="00634CDF"/>
    <w:rsid w:val="0063529A"/>
    <w:rsid w:val="0063532E"/>
    <w:rsid w:val="0063562F"/>
    <w:rsid w:val="00635A3B"/>
    <w:rsid w:val="0063622D"/>
    <w:rsid w:val="0063628D"/>
    <w:rsid w:val="00636468"/>
    <w:rsid w:val="0063657A"/>
    <w:rsid w:val="00636862"/>
    <w:rsid w:val="00636C49"/>
    <w:rsid w:val="00636DAF"/>
    <w:rsid w:val="006373D7"/>
    <w:rsid w:val="00637695"/>
    <w:rsid w:val="00637C00"/>
    <w:rsid w:val="00637D64"/>
    <w:rsid w:val="00637D82"/>
    <w:rsid w:val="0064058C"/>
    <w:rsid w:val="00640EE6"/>
    <w:rsid w:val="0064177D"/>
    <w:rsid w:val="00641932"/>
    <w:rsid w:val="00641D25"/>
    <w:rsid w:val="006421AB"/>
    <w:rsid w:val="006421B3"/>
    <w:rsid w:val="006424BB"/>
    <w:rsid w:val="006425FD"/>
    <w:rsid w:val="0064292F"/>
    <w:rsid w:val="00642D22"/>
    <w:rsid w:val="00642DA2"/>
    <w:rsid w:val="006433D8"/>
    <w:rsid w:val="006435D7"/>
    <w:rsid w:val="0064360F"/>
    <w:rsid w:val="00643AD8"/>
    <w:rsid w:val="00643CB3"/>
    <w:rsid w:val="00644295"/>
    <w:rsid w:val="00644662"/>
    <w:rsid w:val="006448B7"/>
    <w:rsid w:val="00644B23"/>
    <w:rsid w:val="00644DC4"/>
    <w:rsid w:val="00645041"/>
    <w:rsid w:val="00645064"/>
    <w:rsid w:val="00645184"/>
    <w:rsid w:val="006457FE"/>
    <w:rsid w:val="0064586F"/>
    <w:rsid w:val="00645A65"/>
    <w:rsid w:val="00645B53"/>
    <w:rsid w:val="006462EA"/>
    <w:rsid w:val="00646B42"/>
    <w:rsid w:val="00646BF1"/>
    <w:rsid w:val="00646D8F"/>
    <w:rsid w:val="00646ECD"/>
    <w:rsid w:val="0064726B"/>
    <w:rsid w:val="0064734C"/>
    <w:rsid w:val="00647679"/>
    <w:rsid w:val="006477F5"/>
    <w:rsid w:val="006478C8"/>
    <w:rsid w:val="0064792C"/>
    <w:rsid w:val="00647B67"/>
    <w:rsid w:val="00647C81"/>
    <w:rsid w:val="00650304"/>
    <w:rsid w:val="006508F5"/>
    <w:rsid w:val="00650C43"/>
    <w:rsid w:val="00650F0D"/>
    <w:rsid w:val="00651454"/>
    <w:rsid w:val="0065197B"/>
    <w:rsid w:val="006529E4"/>
    <w:rsid w:val="00652CE0"/>
    <w:rsid w:val="006531E4"/>
    <w:rsid w:val="0065359F"/>
    <w:rsid w:val="0065364E"/>
    <w:rsid w:val="00653A9C"/>
    <w:rsid w:val="00653F3D"/>
    <w:rsid w:val="0065425F"/>
    <w:rsid w:val="00654293"/>
    <w:rsid w:val="0065456A"/>
    <w:rsid w:val="0065470C"/>
    <w:rsid w:val="00654AB4"/>
    <w:rsid w:val="00654AF0"/>
    <w:rsid w:val="00654DD4"/>
    <w:rsid w:val="00654E00"/>
    <w:rsid w:val="00656019"/>
    <w:rsid w:val="00656049"/>
    <w:rsid w:val="00656067"/>
    <w:rsid w:val="00656485"/>
    <w:rsid w:val="006565FB"/>
    <w:rsid w:val="0065669E"/>
    <w:rsid w:val="00656BB0"/>
    <w:rsid w:val="006570A0"/>
    <w:rsid w:val="006570F6"/>
    <w:rsid w:val="0065728E"/>
    <w:rsid w:val="006573D7"/>
    <w:rsid w:val="006573FB"/>
    <w:rsid w:val="0065752D"/>
    <w:rsid w:val="00657756"/>
    <w:rsid w:val="00657C2E"/>
    <w:rsid w:val="00657D62"/>
    <w:rsid w:val="006604DD"/>
    <w:rsid w:val="00660D1E"/>
    <w:rsid w:val="006610CE"/>
    <w:rsid w:val="00661166"/>
    <w:rsid w:val="006613A6"/>
    <w:rsid w:val="00661B3B"/>
    <w:rsid w:val="00662414"/>
    <w:rsid w:val="00662423"/>
    <w:rsid w:val="0066255B"/>
    <w:rsid w:val="0066264E"/>
    <w:rsid w:val="00662859"/>
    <w:rsid w:val="00662AE6"/>
    <w:rsid w:val="00662BEC"/>
    <w:rsid w:val="00662CD4"/>
    <w:rsid w:val="00662D78"/>
    <w:rsid w:val="00662EE0"/>
    <w:rsid w:val="006630D0"/>
    <w:rsid w:val="006631BA"/>
    <w:rsid w:val="006632F1"/>
    <w:rsid w:val="006636DD"/>
    <w:rsid w:val="00663964"/>
    <w:rsid w:val="00663A80"/>
    <w:rsid w:val="00663B69"/>
    <w:rsid w:val="00663C04"/>
    <w:rsid w:val="00663D00"/>
    <w:rsid w:val="00664A7F"/>
    <w:rsid w:val="00664B09"/>
    <w:rsid w:val="00664ECE"/>
    <w:rsid w:val="00665633"/>
    <w:rsid w:val="0066579D"/>
    <w:rsid w:val="006657B6"/>
    <w:rsid w:val="00665C41"/>
    <w:rsid w:val="00665E62"/>
    <w:rsid w:val="00665FE5"/>
    <w:rsid w:val="006663FA"/>
    <w:rsid w:val="00666637"/>
    <w:rsid w:val="006669A7"/>
    <w:rsid w:val="00666B05"/>
    <w:rsid w:val="00666E50"/>
    <w:rsid w:val="00666F1D"/>
    <w:rsid w:val="00666F4C"/>
    <w:rsid w:val="00667545"/>
    <w:rsid w:val="0066767F"/>
    <w:rsid w:val="006676BE"/>
    <w:rsid w:val="00667A21"/>
    <w:rsid w:val="00667DBF"/>
    <w:rsid w:val="00667E3F"/>
    <w:rsid w:val="006701E3"/>
    <w:rsid w:val="00670396"/>
    <w:rsid w:val="00670456"/>
    <w:rsid w:val="00670467"/>
    <w:rsid w:val="006705C8"/>
    <w:rsid w:val="006705D3"/>
    <w:rsid w:val="00670A49"/>
    <w:rsid w:val="00670B5D"/>
    <w:rsid w:val="00670D9C"/>
    <w:rsid w:val="00670F90"/>
    <w:rsid w:val="006712E6"/>
    <w:rsid w:val="006714FB"/>
    <w:rsid w:val="00671D02"/>
    <w:rsid w:val="00671F2B"/>
    <w:rsid w:val="00672457"/>
    <w:rsid w:val="00672B2F"/>
    <w:rsid w:val="00672C35"/>
    <w:rsid w:val="00673514"/>
    <w:rsid w:val="00673A05"/>
    <w:rsid w:val="00673C63"/>
    <w:rsid w:val="00673DC5"/>
    <w:rsid w:val="006747C5"/>
    <w:rsid w:val="0067482E"/>
    <w:rsid w:val="00674B1E"/>
    <w:rsid w:val="00674B7A"/>
    <w:rsid w:val="00674C7E"/>
    <w:rsid w:val="00675183"/>
    <w:rsid w:val="006754B2"/>
    <w:rsid w:val="0067592B"/>
    <w:rsid w:val="0067598F"/>
    <w:rsid w:val="00675CA6"/>
    <w:rsid w:val="00675E2C"/>
    <w:rsid w:val="00675E85"/>
    <w:rsid w:val="0067620B"/>
    <w:rsid w:val="006768C5"/>
    <w:rsid w:val="00676E0C"/>
    <w:rsid w:val="0067738C"/>
    <w:rsid w:val="00677760"/>
    <w:rsid w:val="00677AE4"/>
    <w:rsid w:val="00677E55"/>
    <w:rsid w:val="00680034"/>
    <w:rsid w:val="0068013F"/>
    <w:rsid w:val="0068051C"/>
    <w:rsid w:val="00680A21"/>
    <w:rsid w:val="00680B47"/>
    <w:rsid w:val="00680C53"/>
    <w:rsid w:val="00680C7C"/>
    <w:rsid w:val="00680D03"/>
    <w:rsid w:val="00680FBB"/>
    <w:rsid w:val="00681135"/>
    <w:rsid w:val="006812CC"/>
    <w:rsid w:val="0068133F"/>
    <w:rsid w:val="006813CC"/>
    <w:rsid w:val="0068186C"/>
    <w:rsid w:val="006818C3"/>
    <w:rsid w:val="00681B61"/>
    <w:rsid w:val="00681B84"/>
    <w:rsid w:val="00681C96"/>
    <w:rsid w:val="00681F0D"/>
    <w:rsid w:val="006822FB"/>
    <w:rsid w:val="0068282C"/>
    <w:rsid w:val="00682BF8"/>
    <w:rsid w:val="00682C61"/>
    <w:rsid w:val="00682EBA"/>
    <w:rsid w:val="0068335D"/>
    <w:rsid w:val="0068336B"/>
    <w:rsid w:val="006834D4"/>
    <w:rsid w:val="00684058"/>
    <w:rsid w:val="006840BE"/>
    <w:rsid w:val="00684861"/>
    <w:rsid w:val="006848BA"/>
    <w:rsid w:val="00684A26"/>
    <w:rsid w:val="00684B35"/>
    <w:rsid w:val="00684BBF"/>
    <w:rsid w:val="00684BD5"/>
    <w:rsid w:val="00684D2E"/>
    <w:rsid w:val="00684D73"/>
    <w:rsid w:val="00684FA0"/>
    <w:rsid w:val="00685148"/>
    <w:rsid w:val="0068575F"/>
    <w:rsid w:val="00685812"/>
    <w:rsid w:val="00685D21"/>
    <w:rsid w:val="00686290"/>
    <w:rsid w:val="006868C6"/>
    <w:rsid w:val="00686C51"/>
    <w:rsid w:val="00686DAF"/>
    <w:rsid w:val="00686EA4"/>
    <w:rsid w:val="00687670"/>
    <w:rsid w:val="006876BF"/>
    <w:rsid w:val="006878BA"/>
    <w:rsid w:val="006878ED"/>
    <w:rsid w:val="00687EAC"/>
    <w:rsid w:val="00687ED2"/>
    <w:rsid w:val="00690014"/>
    <w:rsid w:val="006906A3"/>
    <w:rsid w:val="006906C8"/>
    <w:rsid w:val="00690BFC"/>
    <w:rsid w:val="00690C72"/>
    <w:rsid w:val="00690E07"/>
    <w:rsid w:val="00690EAB"/>
    <w:rsid w:val="00691270"/>
    <w:rsid w:val="00691397"/>
    <w:rsid w:val="006913EC"/>
    <w:rsid w:val="006917A0"/>
    <w:rsid w:val="006917C9"/>
    <w:rsid w:val="00691A5C"/>
    <w:rsid w:val="00691AE8"/>
    <w:rsid w:val="00692157"/>
    <w:rsid w:val="00692977"/>
    <w:rsid w:val="00692DB7"/>
    <w:rsid w:val="00692EFF"/>
    <w:rsid w:val="00692FF3"/>
    <w:rsid w:val="006930E0"/>
    <w:rsid w:val="0069353E"/>
    <w:rsid w:val="006936A9"/>
    <w:rsid w:val="00693748"/>
    <w:rsid w:val="0069376F"/>
    <w:rsid w:val="00693877"/>
    <w:rsid w:val="00693CEE"/>
    <w:rsid w:val="00693E4E"/>
    <w:rsid w:val="00693F3C"/>
    <w:rsid w:val="00695100"/>
    <w:rsid w:val="00695347"/>
    <w:rsid w:val="006953B4"/>
    <w:rsid w:val="00695571"/>
    <w:rsid w:val="006956D4"/>
    <w:rsid w:val="00695BDC"/>
    <w:rsid w:val="006960FF"/>
    <w:rsid w:val="00696894"/>
    <w:rsid w:val="00696957"/>
    <w:rsid w:val="00696C43"/>
    <w:rsid w:val="00696DE6"/>
    <w:rsid w:val="00696F94"/>
    <w:rsid w:val="006A0008"/>
    <w:rsid w:val="006A0255"/>
    <w:rsid w:val="006A0336"/>
    <w:rsid w:val="006A06A7"/>
    <w:rsid w:val="006A06C1"/>
    <w:rsid w:val="006A0E86"/>
    <w:rsid w:val="006A1277"/>
    <w:rsid w:val="006A1560"/>
    <w:rsid w:val="006A1884"/>
    <w:rsid w:val="006A1F5D"/>
    <w:rsid w:val="006A21FE"/>
    <w:rsid w:val="006A2CAD"/>
    <w:rsid w:val="006A359D"/>
    <w:rsid w:val="006A386F"/>
    <w:rsid w:val="006A3AA1"/>
    <w:rsid w:val="006A4581"/>
    <w:rsid w:val="006A4FBE"/>
    <w:rsid w:val="006A521D"/>
    <w:rsid w:val="006A52A7"/>
    <w:rsid w:val="006A53BB"/>
    <w:rsid w:val="006A53C6"/>
    <w:rsid w:val="006A5552"/>
    <w:rsid w:val="006A5D6A"/>
    <w:rsid w:val="006A5DCB"/>
    <w:rsid w:val="006A5F38"/>
    <w:rsid w:val="006A5FA1"/>
    <w:rsid w:val="006A6655"/>
    <w:rsid w:val="006A7023"/>
    <w:rsid w:val="006A7162"/>
    <w:rsid w:val="006A7D69"/>
    <w:rsid w:val="006A7DFF"/>
    <w:rsid w:val="006A7EB0"/>
    <w:rsid w:val="006B0767"/>
    <w:rsid w:val="006B079B"/>
    <w:rsid w:val="006B0B47"/>
    <w:rsid w:val="006B0E0B"/>
    <w:rsid w:val="006B0F45"/>
    <w:rsid w:val="006B1220"/>
    <w:rsid w:val="006B14F9"/>
    <w:rsid w:val="006B16E1"/>
    <w:rsid w:val="006B16EC"/>
    <w:rsid w:val="006B17ED"/>
    <w:rsid w:val="006B1A0B"/>
    <w:rsid w:val="006B206E"/>
    <w:rsid w:val="006B2480"/>
    <w:rsid w:val="006B2BD0"/>
    <w:rsid w:val="006B3028"/>
    <w:rsid w:val="006B3114"/>
    <w:rsid w:val="006B31CA"/>
    <w:rsid w:val="006B329E"/>
    <w:rsid w:val="006B3551"/>
    <w:rsid w:val="006B383E"/>
    <w:rsid w:val="006B3FB8"/>
    <w:rsid w:val="006B45EF"/>
    <w:rsid w:val="006B47B8"/>
    <w:rsid w:val="006B47F2"/>
    <w:rsid w:val="006B4AE6"/>
    <w:rsid w:val="006B4D18"/>
    <w:rsid w:val="006B5177"/>
    <w:rsid w:val="006B53ED"/>
    <w:rsid w:val="006B576C"/>
    <w:rsid w:val="006B5FAE"/>
    <w:rsid w:val="006B63C2"/>
    <w:rsid w:val="006B67BE"/>
    <w:rsid w:val="006B6E9B"/>
    <w:rsid w:val="006B6ED3"/>
    <w:rsid w:val="006B6EEC"/>
    <w:rsid w:val="006B7023"/>
    <w:rsid w:val="006B7925"/>
    <w:rsid w:val="006B7B4D"/>
    <w:rsid w:val="006B7B9A"/>
    <w:rsid w:val="006B7E9C"/>
    <w:rsid w:val="006C0ADE"/>
    <w:rsid w:val="006C119D"/>
    <w:rsid w:val="006C1237"/>
    <w:rsid w:val="006C135D"/>
    <w:rsid w:val="006C1487"/>
    <w:rsid w:val="006C15AB"/>
    <w:rsid w:val="006C1758"/>
    <w:rsid w:val="006C1842"/>
    <w:rsid w:val="006C1885"/>
    <w:rsid w:val="006C2033"/>
    <w:rsid w:val="006C2A46"/>
    <w:rsid w:val="006C2CB0"/>
    <w:rsid w:val="006C3626"/>
    <w:rsid w:val="006C38EF"/>
    <w:rsid w:val="006C3B07"/>
    <w:rsid w:val="006C4092"/>
    <w:rsid w:val="006C4456"/>
    <w:rsid w:val="006C455A"/>
    <w:rsid w:val="006C465D"/>
    <w:rsid w:val="006C49E5"/>
    <w:rsid w:val="006C4A83"/>
    <w:rsid w:val="006C50CF"/>
    <w:rsid w:val="006C5483"/>
    <w:rsid w:val="006C58AE"/>
    <w:rsid w:val="006C5A9D"/>
    <w:rsid w:val="006C5C9A"/>
    <w:rsid w:val="006C612D"/>
    <w:rsid w:val="006C634C"/>
    <w:rsid w:val="006C6471"/>
    <w:rsid w:val="006C69BE"/>
    <w:rsid w:val="006C69E7"/>
    <w:rsid w:val="006C6B4B"/>
    <w:rsid w:val="006C6C42"/>
    <w:rsid w:val="006C7016"/>
    <w:rsid w:val="006C706A"/>
    <w:rsid w:val="006C7252"/>
    <w:rsid w:val="006C73E5"/>
    <w:rsid w:val="006C77BE"/>
    <w:rsid w:val="006C78EF"/>
    <w:rsid w:val="006D0186"/>
    <w:rsid w:val="006D048F"/>
    <w:rsid w:val="006D0634"/>
    <w:rsid w:val="006D089C"/>
    <w:rsid w:val="006D0BA9"/>
    <w:rsid w:val="006D0C63"/>
    <w:rsid w:val="006D118C"/>
    <w:rsid w:val="006D1AA3"/>
    <w:rsid w:val="006D1B10"/>
    <w:rsid w:val="006D1F56"/>
    <w:rsid w:val="006D1F7D"/>
    <w:rsid w:val="006D21F3"/>
    <w:rsid w:val="006D2324"/>
    <w:rsid w:val="006D2332"/>
    <w:rsid w:val="006D23B5"/>
    <w:rsid w:val="006D248A"/>
    <w:rsid w:val="006D28CE"/>
    <w:rsid w:val="006D2F3F"/>
    <w:rsid w:val="006D303D"/>
    <w:rsid w:val="006D3343"/>
    <w:rsid w:val="006D3344"/>
    <w:rsid w:val="006D358F"/>
    <w:rsid w:val="006D371E"/>
    <w:rsid w:val="006D382E"/>
    <w:rsid w:val="006D3AD2"/>
    <w:rsid w:val="006D3AF9"/>
    <w:rsid w:val="006D3C9C"/>
    <w:rsid w:val="006D3ED7"/>
    <w:rsid w:val="006D4561"/>
    <w:rsid w:val="006D456F"/>
    <w:rsid w:val="006D46F1"/>
    <w:rsid w:val="006D46FA"/>
    <w:rsid w:val="006D49F8"/>
    <w:rsid w:val="006D4B44"/>
    <w:rsid w:val="006D53BF"/>
    <w:rsid w:val="006D54CD"/>
    <w:rsid w:val="006D54DB"/>
    <w:rsid w:val="006D5563"/>
    <w:rsid w:val="006D5940"/>
    <w:rsid w:val="006D5A40"/>
    <w:rsid w:val="006D5B4E"/>
    <w:rsid w:val="006D5BDE"/>
    <w:rsid w:val="006D5D21"/>
    <w:rsid w:val="006D62D8"/>
    <w:rsid w:val="006D6551"/>
    <w:rsid w:val="006D6A4D"/>
    <w:rsid w:val="006D6CB6"/>
    <w:rsid w:val="006D7196"/>
    <w:rsid w:val="006D75D8"/>
    <w:rsid w:val="006D763C"/>
    <w:rsid w:val="006D796E"/>
    <w:rsid w:val="006D7B4A"/>
    <w:rsid w:val="006D7FF4"/>
    <w:rsid w:val="006E0543"/>
    <w:rsid w:val="006E0642"/>
    <w:rsid w:val="006E0789"/>
    <w:rsid w:val="006E081D"/>
    <w:rsid w:val="006E0AD5"/>
    <w:rsid w:val="006E0AD7"/>
    <w:rsid w:val="006E101B"/>
    <w:rsid w:val="006E1733"/>
    <w:rsid w:val="006E185C"/>
    <w:rsid w:val="006E209B"/>
    <w:rsid w:val="006E24CE"/>
    <w:rsid w:val="006E2649"/>
    <w:rsid w:val="006E2665"/>
    <w:rsid w:val="006E27A3"/>
    <w:rsid w:val="006E2992"/>
    <w:rsid w:val="006E29CF"/>
    <w:rsid w:val="006E2AA4"/>
    <w:rsid w:val="006E2AED"/>
    <w:rsid w:val="006E2B2C"/>
    <w:rsid w:val="006E2B5B"/>
    <w:rsid w:val="006E30C8"/>
    <w:rsid w:val="006E30EB"/>
    <w:rsid w:val="006E329D"/>
    <w:rsid w:val="006E3507"/>
    <w:rsid w:val="006E38F6"/>
    <w:rsid w:val="006E3F15"/>
    <w:rsid w:val="006E42B2"/>
    <w:rsid w:val="006E46B7"/>
    <w:rsid w:val="006E47C8"/>
    <w:rsid w:val="006E4AF6"/>
    <w:rsid w:val="006E5668"/>
    <w:rsid w:val="006E566B"/>
    <w:rsid w:val="006E5796"/>
    <w:rsid w:val="006E57BF"/>
    <w:rsid w:val="006E57F2"/>
    <w:rsid w:val="006E5A83"/>
    <w:rsid w:val="006E5DFC"/>
    <w:rsid w:val="006E5FAE"/>
    <w:rsid w:val="006E6298"/>
    <w:rsid w:val="006E62B3"/>
    <w:rsid w:val="006E691C"/>
    <w:rsid w:val="006E6C34"/>
    <w:rsid w:val="006E6ED4"/>
    <w:rsid w:val="006E7239"/>
    <w:rsid w:val="006E72C7"/>
    <w:rsid w:val="006E794B"/>
    <w:rsid w:val="006E7BDB"/>
    <w:rsid w:val="006E7EC3"/>
    <w:rsid w:val="006E7F2F"/>
    <w:rsid w:val="006E7F8F"/>
    <w:rsid w:val="006F0095"/>
    <w:rsid w:val="006F0768"/>
    <w:rsid w:val="006F0D2D"/>
    <w:rsid w:val="006F102A"/>
    <w:rsid w:val="006F123C"/>
    <w:rsid w:val="006F1252"/>
    <w:rsid w:val="006F133D"/>
    <w:rsid w:val="006F15B7"/>
    <w:rsid w:val="006F15F7"/>
    <w:rsid w:val="006F17AC"/>
    <w:rsid w:val="006F19F1"/>
    <w:rsid w:val="006F1BF7"/>
    <w:rsid w:val="006F1CE5"/>
    <w:rsid w:val="006F2228"/>
    <w:rsid w:val="006F2511"/>
    <w:rsid w:val="006F265B"/>
    <w:rsid w:val="006F279C"/>
    <w:rsid w:val="006F298B"/>
    <w:rsid w:val="006F3655"/>
    <w:rsid w:val="006F3895"/>
    <w:rsid w:val="006F38B4"/>
    <w:rsid w:val="006F4134"/>
    <w:rsid w:val="006F41C6"/>
    <w:rsid w:val="006F421A"/>
    <w:rsid w:val="006F4783"/>
    <w:rsid w:val="006F4C9E"/>
    <w:rsid w:val="006F4CA4"/>
    <w:rsid w:val="006F5355"/>
    <w:rsid w:val="006F59EE"/>
    <w:rsid w:val="006F5D93"/>
    <w:rsid w:val="006F60B8"/>
    <w:rsid w:val="006F61AA"/>
    <w:rsid w:val="006F6599"/>
    <w:rsid w:val="006F6721"/>
    <w:rsid w:val="006F7160"/>
    <w:rsid w:val="006F751B"/>
    <w:rsid w:val="006F77C8"/>
    <w:rsid w:val="006F7FD3"/>
    <w:rsid w:val="007005C5"/>
    <w:rsid w:val="00701127"/>
    <w:rsid w:val="0070141C"/>
    <w:rsid w:val="00701748"/>
    <w:rsid w:val="00701C18"/>
    <w:rsid w:val="0070238D"/>
    <w:rsid w:val="007023F8"/>
    <w:rsid w:val="0070257F"/>
    <w:rsid w:val="007025D4"/>
    <w:rsid w:val="007027D6"/>
    <w:rsid w:val="00702BC6"/>
    <w:rsid w:val="00702C4B"/>
    <w:rsid w:val="00702DC0"/>
    <w:rsid w:val="00702E92"/>
    <w:rsid w:val="00702EE8"/>
    <w:rsid w:val="007033DC"/>
    <w:rsid w:val="00703403"/>
    <w:rsid w:val="007034F1"/>
    <w:rsid w:val="0070398A"/>
    <w:rsid w:val="00704B56"/>
    <w:rsid w:val="00704BFE"/>
    <w:rsid w:val="00704CAC"/>
    <w:rsid w:val="00704ED2"/>
    <w:rsid w:val="007051F4"/>
    <w:rsid w:val="00705551"/>
    <w:rsid w:val="007056C1"/>
    <w:rsid w:val="00705CF9"/>
    <w:rsid w:val="00705D27"/>
    <w:rsid w:val="00705D58"/>
    <w:rsid w:val="00705E50"/>
    <w:rsid w:val="00706165"/>
    <w:rsid w:val="007062A3"/>
    <w:rsid w:val="00706700"/>
    <w:rsid w:val="00706C9B"/>
    <w:rsid w:val="00706FAA"/>
    <w:rsid w:val="0070701A"/>
    <w:rsid w:val="0070707A"/>
    <w:rsid w:val="00707156"/>
    <w:rsid w:val="0070760E"/>
    <w:rsid w:val="00707C81"/>
    <w:rsid w:val="00707F1A"/>
    <w:rsid w:val="0071000C"/>
    <w:rsid w:val="00710392"/>
    <w:rsid w:val="00710543"/>
    <w:rsid w:val="00710756"/>
    <w:rsid w:val="007108D4"/>
    <w:rsid w:val="00710DA5"/>
    <w:rsid w:val="00710E68"/>
    <w:rsid w:val="00710F41"/>
    <w:rsid w:val="00710FB2"/>
    <w:rsid w:val="007110ED"/>
    <w:rsid w:val="0071128B"/>
    <w:rsid w:val="007112D8"/>
    <w:rsid w:val="00711788"/>
    <w:rsid w:val="007117EB"/>
    <w:rsid w:val="00711B4A"/>
    <w:rsid w:val="00711FB5"/>
    <w:rsid w:val="007121DA"/>
    <w:rsid w:val="007123DE"/>
    <w:rsid w:val="007127EA"/>
    <w:rsid w:val="0071280E"/>
    <w:rsid w:val="00712D39"/>
    <w:rsid w:val="00712ED0"/>
    <w:rsid w:val="00712F1F"/>
    <w:rsid w:val="00713326"/>
    <w:rsid w:val="0071340A"/>
    <w:rsid w:val="00713ED8"/>
    <w:rsid w:val="00714502"/>
    <w:rsid w:val="00714555"/>
    <w:rsid w:val="00714BA5"/>
    <w:rsid w:val="00715016"/>
    <w:rsid w:val="007151DA"/>
    <w:rsid w:val="007153EB"/>
    <w:rsid w:val="00715BCA"/>
    <w:rsid w:val="00715D83"/>
    <w:rsid w:val="00715F04"/>
    <w:rsid w:val="00715F3C"/>
    <w:rsid w:val="0071611A"/>
    <w:rsid w:val="007164DD"/>
    <w:rsid w:val="0071679C"/>
    <w:rsid w:val="007169DF"/>
    <w:rsid w:val="00716A31"/>
    <w:rsid w:val="00716B68"/>
    <w:rsid w:val="0071753A"/>
    <w:rsid w:val="00717673"/>
    <w:rsid w:val="00717791"/>
    <w:rsid w:val="00717E54"/>
    <w:rsid w:val="00717F6B"/>
    <w:rsid w:val="0072027E"/>
    <w:rsid w:val="00720395"/>
    <w:rsid w:val="007207E4"/>
    <w:rsid w:val="00720815"/>
    <w:rsid w:val="007208DD"/>
    <w:rsid w:val="00720EB3"/>
    <w:rsid w:val="00721CAD"/>
    <w:rsid w:val="007225D0"/>
    <w:rsid w:val="0072275A"/>
    <w:rsid w:val="00722CC0"/>
    <w:rsid w:val="00722DDC"/>
    <w:rsid w:val="00723B40"/>
    <w:rsid w:val="00723ED1"/>
    <w:rsid w:val="007241F2"/>
    <w:rsid w:val="00724304"/>
    <w:rsid w:val="00724622"/>
    <w:rsid w:val="00724A32"/>
    <w:rsid w:val="00724CB6"/>
    <w:rsid w:val="00724E77"/>
    <w:rsid w:val="00724EA7"/>
    <w:rsid w:val="00725006"/>
    <w:rsid w:val="007253B7"/>
    <w:rsid w:val="00725588"/>
    <w:rsid w:val="00725728"/>
    <w:rsid w:val="00725832"/>
    <w:rsid w:val="0072611E"/>
    <w:rsid w:val="00726945"/>
    <w:rsid w:val="00727A20"/>
    <w:rsid w:val="00727AE0"/>
    <w:rsid w:val="00727D72"/>
    <w:rsid w:val="00727ECF"/>
    <w:rsid w:val="0073008C"/>
    <w:rsid w:val="00730332"/>
    <w:rsid w:val="0073060B"/>
    <w:rsid w:val="007306C4"/>
    <w:rsid w:val="007307A4"/>
    <w:rsid w:val="007307AF"/>
    <w:rsid w:val="0073083A"/>
    <w:rsid w:val="00730D1A"/>
    <w:rsid w:val="00730DAE"/>
    <w:rsid w:val="00730F0F"/>
    <w:rsid w:val="00730FD8"/>
    <w:rsid w:val="00731266"/>
    <w:rsid w:val="00731395"/>
    <w:rsid w:val="00731880"/>
    <w:rsid w:val="00731968"/>
    <w:rsid w:val="00731D97"/>
    <w:rsid w:val="0073260F"/>
    <w:rsid w:val="00732A35"/>
    <w:rsid w:val="00732A5A"/>
    <w:rsid w:val="00732C82"/>
    <w:rsid w:val="00732DEE"/>
    <w:rsid w:val="00733263"/>
    <w:rsid w:val="0073351F"/>
    <w:rsid w:val="00733D6D"/>
    <w:rsid w:val="00733F26"/>
    <w:rsid w:val="00734903"/>
    <w:rsid w:val="00734942"/>
    <w:rsid w:val="00734E52"/>
    <w:rsid w:val="00735141"/>
    <w:rsid w:val="00735507"/>
    <w:rsid w:val="00735895"/>
    <w:rsid w:val="00735AA6"/>
    <w:rsid w:val="00736174"/>
    <w:rsid w:val="0073625B"/>
    <w:rsid w:val="007362C6"/>
    <w:rsid w:val="00736B29"/>
    <w:rsid w:val="00736E6D"/>
    <w:rsid w:val="00736F6E"/>
    <w:rsid w:val="00737075"/>
    <w:rsid w:val="0073715B"/>
    <w:rsid w:val="007377A9"/>
    <w:rsid w:val="00737B91"/>
    <w:rsid w:val="00737C01"/>
    <w:rsid w:val="00737EF1"/>
    <w:rsid w:val="00740533"/>
    <w:rsid w:val="007405E4"/>
    <w:rsid w:val="0074066F"/>
    <w:rsid w:val="00740B26"/>
    <w:rsid w:val="00740DA8"/>
    <w:rsid w:val="00741006"/>
    <w:rsid w:val="00741648"/>
    <w:rsid w:val="00741946"/>
    <w:rsid w:val="00741B15"/>
    <w:rsid w:val="00741BD2"/>
    <w:rsid w:val="00742148"/>
    <w:rsid w:val="0074249C"/>
    <w:rsid w:val="00742CC6"/>
    <w:rsid w:val="00743000"/>
    <w:rsid w:val="00743443"/>
    <w:rsid w:val="007435B5"/>
    <w:rsid w:val="00743A6B"/>
    <w:rsid w:val="00743F50"/>
    <w:rsid w:val="00744186"/>
    <w:rsid w:val="00744320"/>
    <w:rsid w:val="007443A3"/>
    <w:rsid w:val="007447DF"/>
    <w:rsid w:val="007447E4"/>
    <w:rsid w:val="0074481A"/>
    <w:rsid w:val="00744851"/>
    <w:rsid w:val="007449E8"/>
    <w:rsid w:val="00745599"/>
    <w:rsid w:val="00745E38"/>
    <w:rsid w:val="00746235"/>
    <w:rsid w:val="00746352"/>
    <w:rsid w:val="00746C34"/>
    <w:rsid w:val="007470A0"/>
    <w:rsid w:val="00747ADB"/>
    <w:rsid w:val="00747B45"/>
    <w:rsid w:val="00747B9E"/>
    <w:rsid w:val="00747C2B"/>
    <w:rsid w:val="00747DE9"/>
    <w:rsid w:val="00747E00"/>
    <w:rsid w:val="0075016B"/>
    <w:rsid w:val="007501CE"/>
    <w:rsid w:val="0075022D"/>
    <w:rsid w:val="00750967"/>
    <w:rsid w:val="00750A4B"/>
    <w:rsid w:val="00750ADA"/>
    <w:rsid w:val="00750FED"/>
    <w:rsid w:val="00751596"/>
    <w:rsid w:val="007515A4"/>
    <w:rsid w:val="007515D1"/>
    <w:rsid w:val="0075174D"/>
    <w:rsid w:val="00751777"/>
    <w:rsid w:val="0075194E"/>
    <w:rsid w:val="00751A53"/>
    <w:rsid w:val="00751AD3"/>
    <w:rsid w:val="00751BDD"/>
    <w:rsid w:val="00751BFD"/>
    <w:rsid w:val="00751F8F"/>
    <w:rsid w:val="0075212F"/>
    <w:rsid w:val="007527ED"/>
    <w:rsid w:val="00752886"/>
    <w:rsid w:val="00752AE0"/>
    <w:rsid w:val="00752D7C"/>
    <w:rsid w:val="00753162"/>
    <w:rsid w:val="0075348B"/>
    <w:rsid w:val="00753825"/>
    <w:rsid w:val="00754007"/>
    <w:rsid w:val="007549B5"/>
    <w:rsid w:val="007549B7"/>
    <w:rsid w:val="00754A5F"/>
    <w:rsid w:val="0075508E"/>
    <w:rsid w:val="00755197"/>
    <w:rsid w:val="007552FC"/>
    <w:rsid w:val="007554BC"/>
    <w:rsid w:val="007554C8"/>
    <w:rsid w:val="007557B9"/>
    <w:rsid w:val="007557CC"/>
    <w:rsid w:val="00755A7E"/>
    <w:rsid w:val="00755C18"/>
    <w:rsid w:val="00755D58"/>
    <w:rsid w:val="0075630E"/>
    <w:rsid w:val="00756866"/>
    <w:rsid w:val="00756B03"/>
    <w:rsid w:val="00756CC9"/>
    <w:rsid w:val="00756E44"/>
    <w:rsid w:val="00756F74"/>
    <w:rsid w:val="00756F76"/>
    <w:rsid w:val="0075736B"/>
    <w:rsid w:val="007577C7"/>
    <w:rsid w:val="00757BAD"/>
    <w:rsid w:val="00757CEA"/>
    <w:rsid w:val="00760286"/>
    <w:rsid w:val="00760480"/>
    <w:rsid w:val="007609F0"/>
    <w:rsid w:val="00760A2E"/>
    <w:rsid w:val="00760DFB"/>
    <w:rsid w:val="007612AF"/>
    <w:rsid w:val="00761C2D"/>
    <w:rsid w:val="00762713"/>
    <w:rsid w:val="007627E1"/>
    <w:rsid w:val="00762D69"/>
    <w:rsid w:val="00762E1D"/>
    <w:rsid w:val="00763598"/>
    <w:rsid w:val="00763FFF"/>
    <w:rsid w:val="007646E5"/>
    <w:rsid w:val="00764999"/>
    <w:rsid w:val="00764EB1"/>
    <w:rsid w:val="00764F86"/>
    <w:rsid w:val="00765404"/>
    <w:rsid w:val="00765AB3"/>
    <w:rsid w:val="00765B27"/>
    <w:rsid w:val="00765D40"/>
    <w:rsid w:val="00765D78"/>
    <w:rsid w:val="007660AF"/>
    <w:rsid w:val="007662A5"/>
    <w:rsid w:val="007664A3"/>
    <w:rsid w:val="00766765"/>
    <w:rsid w:val="00766CA6"/>
    <w:rsid w:val="00766DA7"/>
    <w:rsid w:val="007671DE"/>
    <w:rsid w:val="00767365"/>
    <w:rsid w:val="00767476"/>
    <w:rsid w:val="007674AA"/>
    <w:rsid w:val="00767D86"/>
    <w:rsid w:val="00767E3F"/>
    <w:rsid w:val="00767ED3"/>
    <w:rsid w:val="00770182"/>
    <w:rsid w:val="0077033B"/>
    <w:rsid w:val="007705E3"/>
    <w:rsid w:val="00770D41"/>
    <w:rsid w:val="00770E89"/>
    <w:rsid w:val="0077122A"/>
    <w:rsid w:val="00771D56"/>
    <w:rsid w:val="00772187"/>
    <w:rsid w:val="0077225D"/>
    <w:rsid w:val="00772703"/>
    <w:rsid w:val="00772773"/>
    <w:rsid w:val="00772C01"/>
    <w:rsid w:val="00773138"/>
    <w:rsid w:val="007732A2"/>
    <w:rsid w:val="007733E8"/>
    <w:rsid w:val="007736D7"/>
    <w:rsid w:val="00773D74"/>
    <w:rsid w:val="00773DAE"/>
    <w:rsid w:val="007743B7"/>
    <w:rsid w:val="007747AE"/>
    <w:rsid w:val="00774EF4"/>
    <w:rsid w:val="007750FE"/>
    <w:rsid w:val="0077538C"/>
    <w:rsid w:val="00775876"/>
    <w:rsid w:val="00775A5C"/>
    <w:rsid w:val="00775B6C"/>
    <w:rsid w:val="00775EF4"/>
    <w:rsid w:val="007765C8"/>
    <w:rsid w:val="0077678B"/>
    <w:rsid w:val="007767A4"/>
    <w:rsid w:val="0077691E"/>
    <w:rsid w:val="00776B36"/>
    <w:rsid w:val="00776D78"/>
    <w:rsid w:val="00776E50"/>
    <w:rsid w:val="00776EC1"/>
    <w:rsid w:val="0077749F"/>
    <w:rsid w:val="00777823"/>
    <w:rsid w:val="007778E8"/>
    <w:rsid w:val="00777B73"/>
    <w:rsid w:val="007802F7"/>
    <w:rsid w:val="007805DA"/>
    <w:rsid w:val="00780AAD"/>
    <w:rsid w:val="007810C0"/>
    <w:rsid w:val="007811A3"/>
    <w:rsid w:val="0078189A"/>
    <w:rsid w:val="00781BB7"/>
    <w:rsid w:val="00781F56"/>
    <w:rsid w:val="00782067"/>
    <w:rsid w:val="007821BC"/>
    <w:rsid w:val="0078237E"/>
    <w:rsid w:val="00782718"/>
    <w:rsid w:val="00782E6D"/>
    <w:rsid w:val="0078305D"/>
    <w:rsid w:val="00783228"/>
    <w:rsid w:val="0078373D"/>
    <w:rsid w:val="007838F8"/>
    <w:rsid w:val="00783B26"/>
    <w:rsid w:val="00783B94"/>
    <w:rsid w:val="00783CA2"/>
    <w:rsid w:val="00784122"/>
    <w:rsid w:val="007846B1"/>
    <w:rsid w:val="007846BC"/>
    <w:rsid w:val="007847F8"/>
    <w:rsid w:val="00784DF2"/>
    <w:rsid w:val="00785171"/>
    <w:rsid w:val="007855B0"/>
    <w:rsid w:val="007856EE"/>
    <w:rsid w:val="007857E9"/>
    <w:rsid w:val="00785BEF"/>
    <w:rsid w:val="00785FDC"/>
    <w:rsid w:val="007866B7"/>
    <w:rsid w:val="00786824"/>
    <w:rsid w:val="0078696B"/>
    <w:rsid w:val="00786ABD"/>
    <w:rsid w:val="00786AC3"/>
    <w:rsid w:val="00786FD5"/>
    <w:rsid w:val="007870A1"/>
    <w:rsid w:val="0078711F"/>
    <w:rsid w:val="0078770E"/>
    <w:rsid w:val="00787AF5"/>
    <w:rsid w:val="00787CF5"/>
    <w:rsid w:val="00787F90"/>
    <w:rsid w:val="007903AC"/>
    <w:rsid w:val="0079052A"/>
    <w:rsid w:val="0079093D"/>
    <w:rsid w:val="00790DE6"/>
    <w:rsid w:val="007913BE"/>
    <w:rsid w:val="007914DE"/>
    <w:rsid w:val="00791611"/>
    <w:rsid w:val="0079175B"/>
    <w:rsid w:val="00791AE5"/>
    <w:rsid w:val="00791B07"/>
    <w:rsid w:val="007920BB"/>
    <w:rsid w:val="00792336"/>
    <w:rsid w:val="007924C2"/>
    <w:rsid w:val="0079290E"/>
    <w:rsid w:val="0079293D"/>
    <w:rsid w:val="00792BA1"/>
    <w:rsid w:val="007932F5"/>
    <w:rsid w:val="007934F6"/>
    <w:rsid w:val="00793796"/>
    <w:rsid w:val="00793862"/>
    <w:rsid w:val="00794B14"/>
    <w:rsid w:val="00794C0D"/>
    <w:rsid w:val="00795149"/>
    <w:rsid w:val="007955A0"/>
    <w:rsid w:val="0079572D"/>
    <w:rsid w:val="0079594E"/>
    <w:rsid w:val="007960E5"/>
    <w:rsid w:val="007964AF"/>
    <w:rsid w:val="00796592"/>
    <w:rsid w:val="00796882"/>
    <w:rsid w:val="007969A3"/>
    <w:rsid w:val="007969B5"/>
    <w:rsid w:val="00796A37"/>
    <w:rsid w:val="00796ACB"/>
    <w:rsid w:val="00796F8B"/>
    <w:rsid w:val="00797297"/>
    <w:rsid w:val="0079735B"/>
    <w:rsid w:val="00797816"/>
    <w:rsid w:val="00797841"/>
    <w:rsid w:val="00797D7C"/>
    <w:rsid w:val="00797D8A"/>
    <w:rsid w:val="00797DB2"/>
    <w:rsid w:val="00797EBA"/>
    <w:rsid w:val="00797F0B"/>
    <w:rsid w:val="00797FE1"/>
    <w:rsid w:val="007A088C"/>
    <w:rsid w:val="007A093A"/>
    <w:rsid w:val="007A0A18"/>
    <w:rsid w:val="007A0A6C"/>
    <w:rsid w:val="007A0B43"/>
    <w:rsid w:val="007A0DEE"/>
    <w:rsid w:val="007A0F0B"/>
    <w:rsid w:val="007A0FD3"/>
    <w:rsid w:val="007A10D9"/>
    <w:rsid w:val="007A1807"/>
    <w:rsid w:val="007A1C48"/>
    <w:rsid w:val="007A1CD7"/>
    <w:rsid w:val="007A1D9A"/>
    <w:rsid w:val="007A217A"/>
    <w:rsid w:val="007A22F1"/>
    <w:rsid w:val="007A24EB"/>
    <w:rsid w:val="007A272E"/>
    <w:rsid w:val="007A2A8D"/>
    <w:rsid w:val="007A32E9"/>
    <w:rsid w:val="007A35B9"/>
    <w:rsid w:val="007A3626"/>
    <w:rsid w:val="007A3AC8"/>
    <w:rsid w:val="007A3D11"/>
    <w:rsid w:val="007A3DBF"/>
    <w:rsid w:val="007A414B"/>
    <w:rsid w:val="007A4275"/>
    <w:rsid w:val="007A465D"/>
    <w:rsid w:val="007A4977"/>
    <w:rsid w:val="007A4A51"/>
    <w:rsid w:val="007A4C03"/>
    <w:rsid w:val="007A4D7A"/>
    <w:rsid w:val="007A5022"/>
    <w:rsid w:val="007A53E9"/>
    <w:rsid w:val="007A5569"/>
    <w:rsid w:val="007A5A11"/>
    <w:rsid w:val="007A5ACF"/>
    <w:rsid w:val="007A5BEA"/>
    <w:rsid w:val="007A61D2"/>
    <w:rsid w:val="007A622B"/>
    <w:rsid w:val="007A62CA"/>
    <w:rsid w:val="007A635F"/>
    <w:rsid w:val="007A6372"/>
    <w:rsid w:val="007A64C0"/>
    <w:rsid w:val="007A66D4"/>
    <w:rsid w:val="007A673D"/>
    <w:rsid w:val="007A6C01"/>
    <w:rsid w:val="007A6D7F"/>
    <w:rsid w:val="007A723D"/>
    <w:rsid w:val="007A78AE"/>
    <w:rsid w:val="007A7BED"/>
    <w:rsid w:val="007A7FA9"/>
    <w:rsid w:val="007B0025"/>
    <w:rsid w:val="007B015C"/>
    <w:rsid w:val="007B085D"/>
    <w:rsid w:val="007B0B87"/>
    <w:rsid w:val="007B0C8E"/>
    <w:rsid w:val="007B0E96"/>
    <w:rsid w:val="007B0E97"/>
    <w:rsid w:val="007B0F01"/>
    <w:rsid w:val="007B126F"/>
    <w:rsid w:val="007B1856"/>
    <w:rsid w:val="007B188F"/>
    <w:rsid w:val="007B1D14"/>
    <w:rsid w:val="007B2408"/>
    <w:rsid w:val="007B2416"/>
    <w:rsid w:val="007B257F"/>
    <w:rsid w:val="007B294A"/>
    <w:rsid w:val="007B2DC0"/>
    <w:rsid w:val="007B327B"/>
    <w:rsid w:val="007B3A0A"/>
    <w:rsid w:val="007B3CDC"/>
    <w:rsid w:val="007B3D0B"/>
    <w:rsid w:val="007B43F9"/>
    <w:rsid w:val="007B460A"/>
    <w:rsid w:val="007B46BD"/>
    <w:rsid w:val="007B4D62"/>
    <w:rsid w:val="007B4FBE"/>
    <w:rsid w:val="007B5C91"/>
    <w:rsid w:val="007B6212"/>
    <w:rsid w:val="007B64E9"/>
    <w:rsid w:val="007B6611"/>
    <w:rsid w:val="007B6981"/>
    <w:rsid w:val="007B6AD4"/>
    <w:rsid w:val="007B6CD1"/>
    <w:rsid w:val="007B6FF3"/>
    <w:rsid w:val="007C001C"/>
    <w:rsid w:val="007C0937"/>
    <w:rsid w:val="007C0B5C"/>
    <w:rsid w:val="007C0DBA"/>
    <w:rsid w:val="007C0E42"/>
    <w:rsid w:val="007C128D"/>
    <w:rsid w:val="007C1684"/>
    <w:rsid w:val="007C173F"/>
    <w:rsid w:val="007C17E9"/>
    <w:rsid w:val="007C1C03"/>
    <w:rsid w:val="007C1E07"/>
    <w:rsid w:val="007C2DE5"/>
    <w:rsid w:val="007C34D0"/>
    <w:rsid w:val="007C38B2"/>
    <w:rsid w:val="007C3917"/>
    <w:rsid w:val="007C39B3"/>
    <w:rsid w:val="007C3A6C"/>
    <w:rsid w:val="007C3CCD"/>
    <w:rsid w:val="007C47D9"/>
    <w:rsid w:val="007C47DE"/>
    <w:rsid w:val="007C48D3"/>
    <w:rsid w:val="007C4E9D"/>
    <w:rsid w:val="007C5402"/>
    <w:rsid w:val="007C5CE6"/>
    <w:rsid w:val="007C61C0"/>
    <w:rsid w:val="007C652F"/>
    <w:rsid w:val="007C6B04"/>
    <w:rsid w:val="007C6C16"/>
    <w:rsid w:val="007C7519"/>
    <w:rsid w:val="007C7636"/>
    <w:rsid w:val="007C77AF"/>
    <w:rsid w:val="007C77DF"/>
    <w:rsid w:val="007C7A51"/>
    <w:rsid w:val="007C7B3F"/>
    <w:rsid w:val="007D0237"/>
    <w:rsid w:val="007D05EC"/>
    <w:rsid w:val="007D10F0"/>
    <w:rsid w:val="007D1615"/>
    <w:rsid w:val="007D1688"/>
    <w:rsid w:val="007D18E5"/>
    <w:rsid w:val="007D1AAD"/>
    <w:rsid w:val="007D1C50"/>
    <w:rsid w:val="007D1F90"/>
    <w:rsid w:val="007D21BD"/>
    <w:rsid w:val="007D2284"/>
    <w:rsid w:val="007D2604"/>
    <w:rsid w:val="007D283E"/>
    <w:rsid w:val="007D2885"/>
    <w:rsid w:val="007D29A7"/>
    <w:rsid w:val="007D2BED"/>
    <w:rsid w:val="007D2CC0"/>
    <w:rsid w:val="007D2DDD"/>
    <w:rsid w:val="007D2E8D"/>
    <w:rsid w:val="007D3033"/>
    <w:rsid w:val="007D30C9"/>
    <w:rsid w:val="007D352C"/>
    <w:rsid w:val="007D3681"/>
    <w:rsid w:val="007D395D"/>
    <w:rsid w:val="007D3973"/>
    <w:rsid w:val="007D46F2"/>
    <w:rsid w:val="007D4807"/>
    <w:rsid w:val="007D4AC7"/>
    <w:rsid w:val="007D4B97"/>
    <w:rsid w:val="007D4CB8"/>
    <w:rsid w:val="007D4D73"/>
    <w:rsid w:val="007D508B"/>
    <w:rsid w:val="007D5165"/>
    <w:rsid w:val="007D55F1"/>
    <w:rsid w:val="007D567F"/>
    <w:rsid w:val="007D56FE"/>
    <w:rsid w:val="007D5A3A"/>
    <w:rsid w:val="007D5E9C"/>
    <w:rsid w:val="007D621E"/>
    <w:rsid w:val="007D6564"/>
    <w:rsid w:val="007D69C0"/>
    <w:rsid w:val="007D6BB5"/>
    <w:rsid w:val="007D6CC0"/>
    <w:rsid w:val="007D6F29"/>
    <w:rsid w:val="007D6F3A"/>
    <w:rsid w:val="007D7695"/>
    <w:rsid w:val="007D76DC"/>
    <w:rsid w:val="007D77A7"/>
    <w:rsid w:val="007D7B8A"/>
    <w:rsid w:val="007D7E67"/>
    <w:rsid w:val="007E02E0"/>
    <w:rsid w:val="007E0AD3"/>
    <w:rsid w:val="007E0EBA"/>
    <w:rsid w:val="007E0F62"/>
    <w:rsid w:val="007E15DB"/>
    <w:rsid w:val="007E1871"/>
    <w:rsid w:val="007E18F6"/>
    <w:rsid w:val="007E1A22"/>
    <w:rsid w:val="007E1AE0"/>
    <w:rsid w:val="007E2D89"/>
    <w:rsid w:val="007E306A"/>
    <w:rsid w:val="007E369B"/>
    <w:rsid w:val="007E3ACE"/>
    <w:rsid w:val="007E3BDC"/>
    <w:rsid w:val="007E3EDD"/>
    <w:rsid w:val="007E4367"/>
    <w:rsid w:val="007E4951"/>
    <w:rsid w:val="007E49E8"/>
    <w:rsid w:val="007E4D19"/>
    <w:rsid w:val="007E5112"/>
    <w:rsid w:val="007E5676"/>
    <w:rsid w:val="007E5828"/>
    <w:rsid w:val="007E592A"/>
    <w:rsid w:val="007E5DC4"/>
    <w:rsid w:val="007E6622"/>
    <w:rsid w:val="007E6D21"/>
    <w:rsid w:val="007E6D46"/>
    <w:rsid w:val="007E6D78"/>
    <w:rsid w:val="007E7962"/>
    <w:rsid w:val="007F01FF"/>
    <w:rsid w:val="007F02F3"/>
    <w:rsid w:val="007F0440"/>
    <w:rsid w:val="007F08A8"/>
    <w:rsid w:val="007F0ACE"/>
    <w:rsid w:val="007F0E97"/>
    <w:rsid w:val="007F1087"/>
    <w:rsid w:val="007F112F"/>
    <w:rsid w:val="007F12A6"/>
    <w:rsid w:val="007F14FF"/>
    <w:rsid w:val="007F153D"/>
    <w:rsid w:val="007F165E"/>
    <w:rsid w:val="007F1DA3"/>
    <w:rsid w:val="007F1DED"/>
    <w:rsid w:val="007F1E1C"/>
    <w:rsid w:val="007F2392"/>
    <w:rsid w:val="007F2C57"/>
    <w:rsid w:val="007F312B"/>
    <w:rsid w:val="007F34F8"/>
    <w:rsid w:val="007F4055"/>
    <w:rsid w:val="007F4531"/>
    <w:rsid w:val="007F46CF"/>
    <w:rsid w:val="007F4AC1"/>
    <w:rsid w:val="007F4B5B"/>
    <w:rsid w:val="007F4C4B"/>
    <w:rsid w:val="007F5556"/>
    <w:rsid w:val="007F5737"/>
    <w:rsid w:val="007F61B1"/>
    <w:rsid w:val="007F6280"/>
    <w:rsid w:val="007F6465"/>
    <w:rsid w:val="007F695C"/>
    <w:rsid w:val="007F6F95"/>
    <w:rsid w:val="007F72E0"/>
    <w:rsid w:val="007F77D7"/>
    <w:rsid w:val="007F7845"/>
    <w:rsid w:val="007F7998"/>
    <w:rsid w:val="007F7E73"/>
    <w:rsid w:val="0080027E"/>
    <w:rsid w:val="00800619"/>
    <w:rsid w:val="008007C7"/>
    <w:rsid w:val="0080091D"/>
    <w:rsid w:val="00800AAA"/>
    <w:rsid w:val="00800DA4"/>
    <w:rsid w:val="00800F51"/>
    <w:rsid w:val="0080104E"/>
    <w:rsid w:val="00801130"/>
    <w:rsid w:val="008013D0"/>
    <w:rsid w:val="00801892"/>
    <w:rsid w:val="00801A39"/>
    <w:rsid w:val="00802164"/>
    <w:rsid w:val="008022C9"/>
    <w:rsid w:val="0080239F"/>
    <w:rsid w:val="008023A6"/>
    <w:rsid w:val="008023C6"/>
    <w:rsid w:val="00802A19"/>
    <w:rsid w:val="00802C77"/>
    <w:rsid w:val="00802E0C"/>
    <w:rsid w:val="00803129"/>
    <w:rsid w:val="0080332E"/>
    <w:rsid w:val="008037AC"/>
    <w:rsid w:val="00803B69"/>
    <w:rsid w:val="00803C68"/>
    <w:rsid w:val="00803E03"/>
    <w:rsid w:val="00804002"/>
    <w:rsid w:val="0080408A"/>
    <w:rsid w:val="00804174"/>
    <w:rsid w:val="008043B4"/>
    <w:rsid w:val="00804787"/>
    <w:rsid w:val="00804C57"/>
    <w:rsid w:val="00804CD3"/>
    <w:rsid w:val="00805049"/>
    <w:rsid w:val="0080507E"/>
    <w:rsid w:val="0080564B"/>
    <w:rsid w:val="00805B80"/>
    <w:rsid w:val="008062E0"/>
    <w:rsid w:val="00806CFD"/>
    <w:rsid w:val="00806D51"/>
    <w:rsid w:val="008077CC"/>
    <w:rsid w:val="00807983"/>
    <w:rsid w:val="00807A05"/>
    <w:rsid w:val="00807ABD"/>
    <w:rsid w:val="00807ACE"/>
    <w:rsid w:val="00807F81"/>
    <w:rsid w:val="008111D8"/>
    <w:rsid w:val="00811357"/>
    <w:rsid w:val="008113CC"/>
    <w:rsid w:val="00811B93"/>
    <w:rsid w:val="008120BB"/>
    <w:rsid w:val="008125C2"/>
    <w:rsid w:val="00812B50"/>
    <w:rsid w:val="00813263"/>
    <w:rsid w:val="0081326C"/>
    <w:rsid w:val="0081327B"/>
    <w:rsid w:val="008138D9"/>
    <w:rsid w:val="00813E02"/>
    <w:rsid w:val="008145E8"/>
    <w:rsid w:val="008148B9"/>
    <w:rsid w:val="008153EA"/>
    <w:rsid w:val="00815D4F"/>
    <w:rsid w:val="00815E3E"/>
    <w:rsid w:val="00816791"/>
    <w:rsid w:val="00816981"/>
    <w:rsid w:val="00816A06"/>
    <w:rsid w:val="00816BA9"/>
    <w:rsid w:val="00816EEB"/>
    <w:rsid w:val="008173AA"/>
    <w:rsid w:val="008179C4"/>
    <w:rsid w:val="00817F47"/>
    <w:rsid w:val="00820149"/>
    <w:rsid w:val="008201CF"/>
    <w:rsid w:val="00820336"/>
    <w:rsid w:val="00820588"/>
    <w:rsid w:val="00820BD4"/>
    <w:rsid w:val="00820CE1"/>
    <w:rsid w:val="00820DCB"/>
    <w:rsid w:val="00820E34"/>
    <w:rsid w:val="00820E95"/>
    <w:rsid w:val="00821395"/>
    <w:rsid w:val="008219EF"/>
    <w:rsid w:val="00821A73"/>
    <w:rsid w:val="00821EA9"/>
    <w:rsid w:val="008221FA"/>
    <w:rsid w:val="00822360"/>
    <w:rsid w:val="008223C3"/>
    <w:rsid w:val="008223CB"/>
    <w:rsid w:val="008225BA"/>
    <w:rsid w:val="00822ACC"/>
    <w:rsid w:val="00822E50"/>
    <w:rsid w:val="0082306C"/>
    <w:rsid w:val="008230B7"/>
    <w:rsid w:val="008233F0"/>
    <w:rsid w:val="00823667"/>
    <w:rsid w:val="00823686"/>
    <w:rsid w:val="00823B7B"/>
    <w:rsid w:val="00823DEF"/>
    <w:rsid w:val="00824038"/>
    <w:rsid w:val="008243D3"/>
    <w:rsid w:val="00824AB3"/>
    <w:rsid w:val="00824D93"/>
    <w:rsid w:val="00824F26"/>
    <w:rsid w:val="00825518"/>
    <w:rsid w:val="00825705"/>
    <w:rsid w:val="00825DC6"/>
    <w:rsid w:val="00825EF8"/>
    <w:rsid w:val="008264A7"/>
    <w:rsid w:val="00827024"/>
    <w:rsid w:val="0082750D"/>
    <w:rsid w:val="00827586"/>
    <w:rsid w:val="00827A10"/>
    <w:rsid w:val="00827EFD"/>
    <w:rsid w:val="00830470"/>
    <w:rsid w:val="00830622"/>
    <w:rsid w:val="00830728"/>
    <w:rsid w:val="008309AB"/>
    <w:rsid w:val="00830A6E"/>
    <w:rsid w:val="00831234"/>
    <w:rsid w:val="0083130C"/>
    <w:rsid w:val="0083180B"/>
    <w:rsid w:val="00831843"/>
    <w:rsid w:val="0083238D"/>
    <w:rsid w:val="00832781"/>
    <w:rsid w:val="00832CFC"/>
    <w:rsid w:val="00832CFE"/>
    <w:rsid w:val="00832D36"/>
    <w:rsid w:val="00832DC7"/>
    <w:rsid w:val="008334D3"/>
    <w:rsid w:val="00833A1D"/>
    <w:rsid w:val="00833DE7"/>
    <w:rsid w:val="00833F95"/>
    <w:rsid w:val="008340DF"/>
    <w:rsid w:val="00834100"/>
    <w:rsid w:val="00834200"/>
    <w:rsid w:val="00834705"/>
    <w:rsid w:val="00834AD2"/>
    <w:rsid w:val="00834D37"/>
    <w:rsid w:val="00835088"/>
    <w:rsid w:val="00835103"/>
    <w:rsid w:val="0083510E"/>
    <w:rsid w:val="0083534A"/>
    <w:rsid w:val="00835862"/>
    <w:rsid w:val="00835AB2"/>
    <w:rsid w:val="00835C50"/>
    <w:rsid w:val="00835CDD"/>
    <w:rsid w:val="00836283"/>
    <w:rsid w:val="00836C29"/>
    <w:rsid w:val="00836FE8"/>
    <w:rsid w:val="008373F8"/>
    <w:rsid w:val="0083795B"/>
    <w:rsid w:val="00837AB3"/>
    <w:rsid w:val="00837D35"/>
    <w:rsid w:val="00840037"/>
    <w:rsid w:val="00840333"/>
    <w:rsid w:val="00840469"/>
    <w:rsid w:val="0084054D"/>
    <w:rsid w:val="008405B5"/>
    <w:rsid w:val="0084070A"/>
    <w:rsid w:val="00840A7B"/>
    <w:rsid w:val="00840D78"/>
    <w:rsid w:val="00840FAF"/>
    <w:rsid w:val="0084137A"/>
    <w:rsid w:val="00841467"/>
    <w:rsid w:val="00841846"/>
    <w:rsid w:val="00841CA0"/>
    <w:rsid w:val="00841CA9"/>
    <w:rsid w:val="00841F35"/>
    <w:rsid w:val="0084228B"/>
    <w:rsid w:val="00842489"/>
    <w:rsid w:val="00842491"/>
    <w:rsid w:val="00842607"/>
    <w:rsid w:val="00842F10"/>
    <w:rsid w:val="00843381"/>
    <w:rsid w:val="0084359A"/>
    <w:rsid w:val="00843ADF"/>
    <w:rsid w:val="0084408F"/>
    <w:rsid w:val="008447D9"/>
    <w:rsid w:val="00844C06"/>
    <w:rsid w:val="00844E5A"/>
    <w:rsid w:val="00844E89"/>
    <w:rsid w:val="00844EB2"/>
    <w:rsid w:val="008467A4"/>
    <w:rsid w:val="00846B14"/>
    <w:rsid w:val="00846D8E"/>
    <w:rsid w:val="00846EFC"/>
    <w:rsid w:val="00847024"/>
    <w:rsid w:val="0084731B"/>
    <w:rsid w:val="0084766D"/>
    <w:rsid w:val="00847836"/>
    <w:rsid w:val="00850731"/>
    <w:rsid w:val="00850F0F"/>
    <w:rsid w:val="00851433"/>
    <w:rsid w:val="0085143F"/>
    <w:rsid w:val="00851784"/>
    <w:rsid w:val="00851880"/>
    <w:rsid w:val="008518B3"/>
    <w:rsid w:val="00851C17"/>
    <w:rsid w:val="00851C1E"/>
    <w:rsid w:val="00851C43"/>
    <w:rsid w:val="00851C68"/>
    <w:rsid w:val="00851D0B"/>
    <w:rsid w:val="00851E78"/>
    <w:rsid w:val="00852215"/>
    <w:rsid w:val="0085237F"/>
    <w:rsid w:val="008525F7"/>
    <w:rsid w:val="00852901"/>
    <w:rsid w:val="00852C90"/>
    <w:rsid w:val="0085308F"/>
    <w:rsid w:val="00853109"/>
    <w:rsid w:val="00853BB4"/>
    <w:rsid w:val="00853C4C"/>
    <w:rsid w:val="008540C2"/>
    <w:rsid w:val="00854159"/>
    <w:rsid w:val="008541D0"/>
    <w:rsid w:val="00854395"/>
    <w:rsid w:val="0085443E"/>
    <w:rsid w:val="008546D5"/>
    <w:rsid w:val="00854A19"/>
    <w:rsid w:val="00854B83"/>
    <w:rsid w:val="00854C40"/>
    <w:rsid w:val="00854C5F"/>
    <w:rsid w:val="0085529C"/>
    <w:rsid w:val="00855413"/>
    <w:rsid w:val="00855C55"/>
    <w:rsid w:val="00855D03"/>
    <w:rsid w:val="008569B9"/>
    <w:rsid w:val="00856B3D"/>
    <w:rsid w:val="00856C74"/>
    <w:rsid w:val="00857184"/>
    <w:rsid w:val="00857402"/>
    <w:rsid w:val="00857873"/>
    <w:rsid w:val="00857B28"/>
    <w:rsid w:val="00857E4D"/>
    <w:rsid w:val="00857FEA"/>
    <w:rsid w:val="00860472"/>
    <w:rsid w:val="0086065E"/>
    <w:rsid w:val="00860A56"/>
    <w:rsid w:val="00860D5C"/>
    <w:rsid w:val="00860DFB"/>
    <w:rsid w:val="00860E83"/>
    <w:rsid w:val="00861277"/>
    <w:rsid w:val="00862375"/>
    <w:rsid w:val="00862CEF"/>
    <w:rsid w:val="00862D30"/>
    <w:rsid w:val="0086331A"/>
    <w:rsid w:val="008635C8"/>
    <w:rsid w:val="008639D8"/>
    <w:rsid w:val="00863A09"/>
    <w:rsid w:val="00863A15"/>
    <w:rsid w:val="00863A5E"/>
    <w:rsid w:val="00863CDF"/>
    <w:rsid w:val="00863D0C"/>
    <w:rsid w:val="00863D41"/>
    <w:rsid w:val="00863DAA"/>
    <w:rsid w:val="00863E75"/>
    <w:rsid w:val="008641BD"/>
    <w:rsid w:val="00864204"/>
    <w:rsid w:val="00864814"/>
    <w:rsid w:val="00864D20"/>
    <w:rsid w:val="008652EA"/>
    <w:rsid w:val="008654C5"/>
    <w:rsid w:val="00865A53"/>
    <w:rsid w:val="0086615E"/>
    <w:rsid w:val="00866753"/>
    <w:rsid w:val="008667D8"/>
    <w:rsid w:val="00866883"/>
    <w:rsid w:val="008669B8"/>
    <w:rsid w:val="00866AC5"/>
    <w:rsid w:val="00866EA0"/>
    <w:rsid w:val="00866EF5"/>
    <w:rsid w:val="00866F2D"/>
    <w:rsid w:val="00866F39"/>
    <w:rsid w:val="00867047"/>
    <w:rsid w:val="008672B1"/>
    <w:rsid w:val="0086736F"/>
    <w:rsid w:val="0086746A"/>
    <w:rsid w:val="00867938"/>
    <w:rsid w:val="00867960"/>
    <w:rsid w:val="00867C24"/>
    <w:rsid w:val="008708CC"/>
    <w:rsid w:val="0087092C"/>
    <w:rsid w:val="00870A7F"/>
    <w:rsid w:val="00871249"/>
    <w:rsid w:val="00871257"/>
    <w:rsid w:val="008716F4"/>
    <w:rsid w:val="00871943"/>
    <w:rsid w:val="00871D8C"/>
    <w:rsid w:val="008720CD"/>
    <w:rsid w:val="008721FE"/>
    <w:rsid w:val="00872872"/>
    <w:rsid w:val="00872C37"/>
    <w:rsid w:val="00872C87"/>
    <w:rsid w:val="00873C83"/>
    <w:rsid w:val="00873FC0"/>
    <w:rsid w:val="00874446"/>
    <w:rsid w:val="00874B9F"/>
    <w:rsid w:val="00874F21"/>
    <w:rsid w:val="00874FAA"/>
    <w:rsid w:val="00875346"/>
    <w:rsid w:val="00875654"/>
    <w:rsid w:val="00875772"/>
    <w:rsid w:val="008759FC"/>
    <w:rsid w:val="00875D5A"/>
    <w:rsid w:val="00876185"/>
    <w:rsid w:val="00876490"/>
    <w:rsid w:val="00876ACD"/>
    <w:rsid w:val="00876E63"/>
    <w:rsid w:val="00877108"/>
    <w:rsid w:val="008771D8"/>
    <w:rsid w:val="008771EA"/>
    <w:rsid w:val="008772A2"/>
    <w:rsid w:val="008772AE"/>
    <w:rsid w:val="0087757B"/>
    <w:rsid w:val="00877A3D"/>
    <w:rsid w:val="00877E58"/>
    <w:rsid w:val="0088051D"/>
    <w:rsid w:val="00880953"/>
    <w:rsid w:val="00880BEC"/>
    <w:rsid w:val="00881517"/>
    <w:rsid w:val="008816C2"/>
    <w:rsid w:val="00881A7A"/>
    <w:rsid w:val="00881BD3"/>
    <w:rsid w:val="00881C8D"/>
    <w:rsid w:val="00881C9D"/>
    <w:rsid w:val="00881E0A"/>
    <w:rsid w:val="00881F05"/>
    <w:rsid w:val="00882019"/>
    <w:rsid w:val="00882623"/>
    <w:rsid w:val="00882662"/>
    <w:rsid w:val="00882890"/>
    <w:rsid w:val="00882D44"/>
    <w:rsid w:val="00882F10"/>
    <w:rsid w:val="008832E8"/>
    <w:rsid w:val="00883DB9"/>
    <w:rsid w:val="00883E0B"/>
    <w:rsid w:val="00883E61"/>
    <w:rsid w:val="00883F1A"/>
    <w:rsid w:val="0088425E"/>
    <w:rsid w:val="0088441B"/>
    <w:rsid w:val="008844F8"/>
    <w:rsid w:val="00884BA5"/>
    <w:rsid w:val="00884CBF"/>
    <w:rsid w:val="008851CA"/>
    <w:rsid w:val="0088547B"/>
    <w:rsid w:val="00885B32"/>
    <w:rsid w:val="00885D7E"/>
    <w:rsid w:val="00885F03"/>
    <w:rsid w:val="00886075"/>
    <w:rsid w:val="00886146"/>
    <w:rsid w:val="008865CD"/>
    <w:rsid w:val="0088679F"/>
    <w:rsid w:val="008867B6"/>
    <w:rsid w:val="00886A70"/>
    <w:rsid w:val="00886F42"/>
    <w:rsid w:val="00887331"/>
    <w:rsid w:val="00887973"/>
    <w:rsid w:val="008879D3"/>
    <w:rsid w:val="00890110"/>
    <w:rsid w:val="008906E8"/>
    <w:rsid w:val="00890E7D"/>
    <w:rsid w:val="0089117B"/>
    <w:rsid w:val="00891405"/>
    <w:rsid w:val="008914FC"/>
    <w:rsid w:val="00891572"/>
    <w:rsid w:val="008917B0"/>
    <w:rsid w:val="0089206D"/>
    <w:rsid w:val="008923AA"/>
    <w:rsid w:val="00892659"/>
    <w:rsid w:val="008926AE"/>
    <w:rsid w:val="00892ACE"/>
    <w:rsid w:val="00892C38"/>
    <w:rsid w:val="00892E79"/>
    <w:rsid w:val="00893509"/>
    <w:rsid w:val="00893B5C"/>
    <w:rsid w:val="00893D5D"/>
    <w:rsid w:val="00894196"/>
    <w:rsid w:val="008944C7"/>
    <w:rsid w:val="0089457E"/>
    <w:rsid w:val="00894ACA"/>
    <w:rsid w:val="00894BA8"/>
    <w:rsid w:val="0089530B"/>
    <w:rsid w:val="00895387"/>
    <w:rsid w:val="0089546E"/>
    <w:rsid w:val="008956DA"/>
    <w:rsid w:val="00895D82"/>
    <w:rsid w:val="00895E4F"/>
    <w:rsid w:val="0089609B"/>
    <w:rsid w:val="0089641B"/>
    <w:rsid w:val="0089644B"/>
    <w:rsid w:val="00896910"/>
    <w:rsid w:val="00896E7E"/>
    <w:rsid w:val="00896FDC"/>
    <w:rsid w:val="00897077"/>
    <w:rsid w:val="008973D1"/>
    <w:rsid w:val="00897614"/>
    <w:rsid w:val="00897BF9"/>
    <w:rsid w:val="00897F49"/>
    <w:rsid w:val="008A0068"/>
    <w:rsid w:val="008A00AA"/>
    <w:rsid w:val="008A0140"/>
    <w:rsid w:val="008A015B"/>
    <w:rsid w:val="008A0A64"/>
    <w:rsid w:val="008A0B82"/>
    <w:rsid w:val="008A1178"/>
    <w:rsid w:val="008A1439"/>
    <w:rsid w:val="008A1A11"/>
    <w:rsid w:val="008A1B44"/>
    <w:rsid w:val="008A1D59"/>
    <w:rsid w:val="008A2072"/>
    <w:rsid w:val="008A2343"/>
    <w:rsid w:val="008A26AB"/>
    <w:rsid w:val="008A273A"/>
    <w:rsid w:val="008A2A3F"/>
    <w:rsid w:val="008A2F0A"/>
    <w:rsid w:val="008A3152"/>
    <w:rsid w:val="008A3253"/>
    <w:rsid w:val="008A3480"/>
    <w:rsid w:val="008A3DA4"/>
    <w:rsid w:val="008A43D3"/>
    <w:rsid w:val="008A4624"/>
    <w:rsid w:val="008A4AAF"/>
    <w:rsid w:val="008A4AB7"/>
    <w:rsid w:val="008A4B3E"/>
    <w:rsid w:val="008A5045"/>
    <w:rsid w:val="008A56A3"/>
    <w:rsid w:val="008A5750"/>
    <w:rsid w:val="008A59A9"/>
    <w:rsid w:val="008A59D0"/>
    <w:rsid w:val="008A5B23"/>
    <w:rsid w:val="008A6BEF"/>
    <w:rsid w:val="008A77A5"/>
    <w:rsid w:val="008A77BD"/>
    <w:rsid w:val="008A7847"/>
    <w:rsid w:val="008B0163"/>
    <w:rsid w:val="008B152A"/>
    <w:rsid w:val="008B17B1"/>
    <w:rsid w:val="008B1FEF"/>
    <w:rsid w:val="008B20DD"/>
    <w:rsid w:val="008B21B3"/>
    <w:rsid w:val="008B220F"/>
    <w:rsid w:val="008B2229"/>
    <w:rsid w:val="008B25F5"/>
    <w:rsid w:val="008B273D"/>
    <w:rsid w:val="008B28EE"/>
    <w:rsid w:val="008B2D52"/>
    <w:rsid w:val="008B2F2C"/>
    <w:rsid w:val="008B35A1"/>
    <w:rsid w:val="008B39EC"/>
    <w:rsid w:val="008B3DE7"/>
    <w:rsid w:val="008B3E71"/>
    <w:rsid w:val="008B3EEA"/>
    <w:rsid w:val="008B446B"/>
    <w:rsid w:val="008B4ACB"/>
    <w:rsid w:val="008B5646"/>
    <w:rsid w:val="008B5CF6"/>
    <w:rsid w:val="008B5F04"/>
    <w:rsid w:val="008B5F5F"/>
    <w:rsid w:val="008B5FB6"/>
    <w:rsid w:val="008B6266"/>
    <w:rsid w:val="008B6703"/>
    <w:rsid w:val="008B671B"/>
    <w:rsid w:val="008B6909"/>
    <w:rsid w:val="008B6970"/>
    <w:rsid w:val="008B6C90"/>
    <w:rsid w:val="008B6F71"/>
    <w:rsid w:val="008B71C1"/>
    <w:rsid w:val="008B74EA"/>
    <w:rsid w:val="008C0C40"/>
    <w:rsid w:val="008C0F83"/>
    <w:rsid w:val="008C10CE"/>
    <w:rsid w:val="008C12FD"/>
    <w:rsid w:val="008C1856"/>
    <w:rsid w:val="008C197A"/>
    <w:rsid w:val="008C1E0E"/>
    <w:rsid w:val="008C1E12"/>
    <w:rsid w:val="008C1FF9"/>
    <w:rsid w:val="008C20DA"/>
    <w:rsid w:val="008C26AA"/>
    <w:rsid w:val="008C2764"/>
    <w:rsid w:val="008C2AFE"/>
    <w:rsid w:val="008C3341"/>
    <w:rsid w:val="008C33EA"/>
    <w:rsid w:val="008C34E1"/>
    <w:rsid w:val="008C3569"/>
    <w:rsid w:val="008C376A"/>
    <w:rsid w:val="008C37D4"/>
    <w:rsid w:val="008C3A7F"/>
    <w:rsid w:val="008C3E7B"/>
    <w:rsid w:val="008C3E86"/>
    <w:rsid w:val="008C416E"/>
    <w:rsid w:val="008C4216"/>
    <w:rsid w:val="008C43D8"/>
    <w:rsid w:val="008C44E5"/>
    <w:rsid w:val="008C4689"/>
    <w:rsid w:val="008C4A75"/>
    <w:rsid w:val="008C4C1A"/>
    <w:rsid w:val="008C4C22"/>
    <w:rsid w:val="008C4CDD"/>
    <w:rsid w:val="008C4FD4"/>
    <w:rsid w:val="008C56BD"/>
    <w:rsid w:val="008C5711"/>
    <w:rsid w:val="008C5771"/>
    <w:rsid w:val="008C57E9"/>
    <w:rsid w:val="008C5C33"/>
    <w:rsid w:val="008C5D0B"/>
    <w:rsid w:val="008C5F13"/>
    <w:rsid w:val="008C6358"/>
    <w:rsid w:val="008C63E4"/>
    <w:rsid w:val="008C6440"/>
    <w:rsid w:val="008C6AD2"/>
    <w:rsid w:val="008C6F96"/>
    <w:rsid w:val="008C759E"/>
    <w:rsid w:val="008C7CBA"/>
    <w:rsid w:val="008C7E5D"/>
    <w:rsid w:val="008C7E84"/>
    <w:rsid w:val="008D0009"/>
    <w:rsid w:val="008D0428"/>
    <w:rsid w:val="008D0842"/>
    <w:rsid w:val="008D0AA9"/>
    <w:rsid w:val="008D0C05"/>
    <w:rsid w:val="008D17B5"/>
    <w:rsid w:val="008D1B33"/>
    <w:rsid w:val="008D1C2F"/>
    <w:rsid w:val="008D1C50"/>
    <w:rsid w:val="008D1D8F"/>
    <w:rsid w:val="008D23BD"/>
    <w:rsid w:val="008D2785"/>
    <w:rsid w:val="008D2923"/>
    <w:rsid w:val="008D2A6A"/>
    <w:rsid w:val="008D2B40"/>
    <w:rsid w:val="008D3081"/>
    <w:rsid w:val="008D3347"/>
    <w:rsid w:val="008D33A0"/>
    <w:rsid w:val="008D345D"/>
    <w:rsid w:val="008D397A"/>
    <w:rsid w:val="008D3BF7"/>
    <w:rsid w:val="008D3F8A"/>
    <w:rsid w:val="008D41B2"/>
    <w:rsid w:val="008D42D5"/>
    <w:rsid w:val="008D4300"/>
    <w:rsid w:val="008D4536"/>
    <w:rsid w:val="008D45FF"/>
    <w:rsid w:val="008D4745"/>
    <w:rsid w:val="008D483B"/>
    <w:rsid w:val="008D496E"/>
    <w:rsid w:val="008D4EF3"/>
    <w:rsid w:val="008D4F0B"/>
    <w:rsid w:val="008D572F"/>
    <w:rsid w:val="008D574A"/>
    <w:rsid w:val="008D5AEE"/>
    <w:rsid w:val="008D6255"/>
    <w:rsid w:val="008D6351"/>
    <w:rsid w:val="008D646C"/>
    <w:rsid w:val="008D66F1"/>
    <w:rsid w:val="008D69AF"/>
    <w:rsid w:val="008D7201"/>
    <w:rsid w:val="008D7302"/>
    <w:rsid w:val="008D7A55"/>
    <w:rsid w:val="008D7B28"/>
    <w:rsid w:val="008D7FA2"/>
    <w:rsid w:val="008E058F"/>
    <w:rsid w:val="008E082E"/>
    <w:rsid w:val="008E0D6B"/>
    <w:rsid w:val="008E11A6"/>
    <w:rsid w:val="008E16E6"/>
    <w:rsid w:val="008E17F8"/>
    <w:rsid w:val="008E19B9"/>
    <w:rsid w:val="008E1A8E"/>
    <w:rsid w:val="008E20AA"/>
    <w:rsid w:val="008E247B"/>
    <w:rsid w:val="008E2AC8"/>
    <w:rsid w:val="008E2D9F"/>
    <w:rsid w:val="008E35CA"/>
    <w:rsid w:val="008E36CF"/>
    <w:rsid w:val="008E3C59"/>
    <w:rsid w:val="008E4611"/>
    <w:rsid w:val="008E4B74"/>
    <w:rsid w:val="008E4C37"/>
    <w:rsid w:val="008E4FF4"/>
    <w:rsid w:val="008E511F"/>
    <w:rsid w:val="008E59C4"/>
    <w:rsid w:val="008E5B8B"/>
    <w:rsid w:val="008E5E6F"/>
    <w:rsid w:val="008E5F74"/>
    <w:rsid w:val="008E5F88"/>
    <w:rsid w:val="008E6720"/>
    <w:rsid w:val="008E69E4"/>
    <w:rsid w:val="008E6AC6"/>
    <w:rsid w:val="008E6B56"/>
    <w:rsid w:val="008E74BB"/>
    <w:rsid w:val="008E77C3"/>
    <w:rsid w:val="008E7862"/>
    <w:rsid w:val="008E7888"/>
    <w:rsid w:val="008E7B1D"/>
    <w:rsid w:val="008E7F5D"/>
    <w:rsid w:val="008F0116"/>
    <w:rsid w:val="008F03C1"/>
    <w:rsid w:val="008F0507"/>
    <w:rsid w:val="008F0527"/>
    <w:rsid w:val="008F0757"/>
    <w:rsid w:val="008F105E"/>
    <w:rsid w:val="008F1462"/>
    <w:rsid w:val="008F203F"/>
    <w:rsid w:val="008F27D9"/>
    <w:rsid w:val="008F2882"/>
    <w:rsid w:val="008F2982"/>
    <w:rsid w:val="008F2B9E"/>
    <w:rsid w:val="008F2C35"/>
    <w:rsid w:val="008F2CF9"/>
    <w:rsid w:val="008F2D87"/>
    <w:rsid w:val="008F3C20"/>
    <w:rsid w:val="008F3F83"/>
    <w:rsid w:val="008F40BA"/>
    <w:rsid w:val="008F40FC"/>
    <w:rsid w:val="008F41A3"/>
    <w:rsid w:val="008F44BF"/>
    <w:rsid w:val="008F48A8"/>
    <w:rsid w:val="008F4B1C"/>
    <w:rsid w:val="008F53CD"/>
    <w:rsid w:val="008F5BE5"/>
    <w:rsid w:val="008F5D48"/>
    <w:rsid w:val="008F5E18"/>
    <w:rsid w:val="008F5FAE"/>
    <w:rsid w:val="008F5FEA"/>
    <w:rsid w:val="008F610D"/>
    <w:rsid w:val="008F62A3"/>
    <w:rsid w:val="008F6691"/>
    <w:rsid w:val="008F66A9"/>
    <w:rsid w:val="008F66ED"/>
    <w:rsid w:val="008F6ABD"/>
    <w:rsid w:val="008F6E4C"/>
    <w:rsid w:val="008F7094"/>
    <w:rsid w:val="008F70E8"/>
    <w:rsid w:val="008F72EE"/>
    <w:rsid w:val="008F73B6"/>
    <w:rsid w:val="008F750A"/>
    <w:rsid w:val="008F75DD"/>
    <w:rsid w:val="008F77F9"/>
    <w:rsid w:val="008F7C9C"/>
    <w:rsid w:val="00900094"/>
    <w:rsid w:val="00900441"/>
    <w:rsid w:val="0090048F"/>
    <w:rsid w:val="009006FF"/>
    <w:rsid w:val="00900FDF"/>
    <w:rsid w:val="00901728"/>
    <w:rsid w:val="0090183E"/>
    <w:rsid w:val="0090195C"/>
    <w:rsid w:val="00901B5E"/>
    <w:rsid w:val="00901BE8"/>
    <w:rsid w:val="00901F17"/>
    <w:rsid w:val="00901FE6"/>
    <w:rsid w:val="00902394"/>
    <w:rsid w:val="00902528"/>
    <w:rsid w:val="00902BB1"/>
    <w:rsid w:val="00903206"/>
    <w:rsid w:val="0090395A"/>
    <w:rsid w:val="00903D38"/>
    <w:rsid w:val="009045C2"/>
    <w:rsid w:val="00904C38"/>
    <w:rsid w:val="00904D1A"/>
    <w:rsid w:val="00905633"/>
    <w:rsid w:val="00905769"/>
    <w:rsid w:val="00905864"/>
    <w:rsid w:val="00905E26"/>
    <w:rsid w:val="009060AE"/>
    <w:rsid w:val="00906724"/>
    <w:rsid w:val="00906831"/>
    <w:rsid w:val="00906A75"/>
    <w:rsid w:val="00906CA4"/>
    <w:rsid w:val="009070FC"/>
    <w:rsid w:val="00907104"/>
    <w:rsid w:val="009075AD"/>
    <w:rsid w:val="0090771F"/>
    <w:rsid w:val="009078DF"/>
    <w:rsid w:val="00907D99"/>
    <w:rsid w:val="00910218"/>
    <w:rsid w:val="0091059F"/>
    <w:rsid w:val="009106E6"/>
    <w:rsid w:val="00910862"/>
    <w:rsid w:val="0091111B"/>
    <w:rsid w:val="00911269"/>
    <w:rsid w:val="0091137C"/>
    <w:rsid w:val="009114E7"/>
    <w:rsid w:val="00911A5F"/>
    <w:rsid w:val="00911D90"/>
    <w:rsid w:val="0091227A"/>
    <w:rsid w:val="0091281F"/>
    <w:rsid w:val="00912A11"/>
    <w:rsid w:val="00912CC0"/>
    <w:rsid w:val="009138CB"/>
    <w:rsid w:val="00913C92"/>
    <w:rsid w:val="00913F38"/>
    <w:rsid w:val="00913F93"/>
    <w:rsid w:val="00913FB1"/>
    <w:rsid w:val="009141C6"/>
    <w:rsid w:val="009144E4"/>
    <w:rsid w:val="00914C48"/>
    <w:rsid w:val="00914EC9"/>
    <w:rsid w:val="0091526F"/>
    <w:rsid w:val="00915275"/>
    <w:rsid w:val="00915685"/>
    <w:rsid w:val="00915B6C"/>
    <w:rsid w:val="00915D11"/>
    <w:rsid w:val="00915D42"/>
    <w:rsid w:val="00915E3A"/>
    <w:rsid w:val="00915F82"/>
    <w:rsid w:val="00916258"/>
    <w:rsid w:val="0091665D"/>
    <w:rsid w:val="00916881"/>
    <w:rsid w:val="009169BD"/>
    <w:rsid w:val="00916BA0"/>
    <w:rsid w:val="00916F0D"/>
    <w:rsid w:val="0091785E"/>
    <w:rsid w:val="00917E49"/>
    <w:rsid w:val="00917FB3"/>
    <w:rsid w:val="00920614"/>
    <w:rsid w:val="00920B2D"/>
    <w:rsid w:val="00920EA8"/>
    <w:rsid w:val="00920F8B"/>
    <w:rsid w:val="00921066"/>
    <w:rsid w:val="009210E4"/>
    <w:rsid w:val="00921355"/>
    <w:rsid w:val="00921614"/>
    <w:rsid w:val="00921747"/>
    <w:rsid w:val="00921930"/>
    <w:rsid w:val="00921989"/>
    <w:rsid w:val="00921CEC"/>
    <w:rsid w:val="00922A67"/>
    <w:rsid w:val="00922ACC"/>
    <w:rsid w:val="00922B00"/>
    <w:rsid w:val="00922C87"/>
    <w:rsid w:val="00922EFA"/>
    <w:rsid w:val="00922F97"/>
    <w:rsid w:val="00923743"/>
    <w:rsid w:val="0092395A"/>
    <w:rsid w:val="009241D1"/>
    <w:rsid w:val="009242AE"/>
    <w:rsid w:val="009242C8"/>
    <w:rsid w:val="00924D0F"/>
    <w:rsid w:val="00924D48"/>
    <w:rsid w:val="00924E3E"/>
    <w:rsid w:val="00924EA9"/>
    <w:rsid w:val="00925902"/>
    <w:rsid w:val="00925CE4"/>
    <w:rsid w:val="00925D29"/>
    <w:rsid w:val="00925EC2"/>
    <w:rsid w:val="009260B8"/>
    <w:rsid w:val="009260CF"/>
    <w:rsid w:val="00926177"/>
    <w:rsid w:val="00926A85"/>
    <w:rsid w:val="00926E28"/>
    <w:rsid w:val="00926FB5"/>
    <w:rsid w:val="0092727A"/>
    <w:rsid w:val="009274EA"/>
    <w:rsid w:val="00927C7A"/>
    <w:rsid w:val="00927C82"/>
    <w:rsid w:val="00927E55"/>
    <w:rsid w:val="00927F53"/>
    <w:rsid w:val="0093069F"/>
    <w:rsid w:val="00930D1B"/>
    <w:rsid w:val="00930DD2"/>
    <w:rsid w:val="00931322"/>
    <w:rsid w:val="00931334"/>
    <w:rsid w:val="00931444"/>
    <w:rsid w:val="009319E9"/>
    <w:rsid w:val="00931FC9"/>
    <w:rsid w:val="00932688"/>
    <w:rsid w:val="00932AA7"/>
    <w:rsid w:val="009332D5"/>
    <w:rsid w:val="00933384"/>
    <w:rsid w:val="00933EED"/>
    <w:rsid w:val="0093422E"/>
    <w:rsid w:val="0093435A"/>
    <w:rsid w:val="00934510"/>
    <w:rsid w:val="009345A5"/>
    <w:rsid w:val="0093479E"/>
    <w:rsid w:val="0093489B"/>
    <w:rsid w:val="0093499A"/>
    <w:rsid w:val="00934FC8"/>
    <w:rsid w:val="0093505D"/>
    <w:rsid w:val="00935277"/>
    <w:rsid w:val="00935446"/>
    <w:rsid w:val="00935524"/>
    <w:rsid w:val="00935669"/>
    <w:rsid w:val="00935793"/>
    <w:rsid w:val="00935BC3"/>
    <w:rsid w:val="00935F2B"/>
    <w:rsid w:val="0093602E"/>
    <w:rsid w:val="00936257"/>
    <w:rsid w:val="00936595"/>
    <w:rsid w:val="00936A08"/>
    <w:rsid w:val="00936AB5"/>
    <w:rsid w:val="009371E7"/>
    <w:rsid w:val="009373EF"/>
    <w:rsid w:val="00937520"/>
    <w:rsid w:val="00937614"/>
    <w:rsid w:val="0093764F"/>
    <w:rsid w:val="009376C7"/>
    <w:rsid w:val="00937761"/>
    <w:rsid w:val="00937915"/>
    <w:rsid w:val="00937978"/>
    <w:rsid w:val="00937DCE"/>
    <w:rsid w:val="0094005E"/>
    <w:rsid w:val="0094023E"/>
    <w:rsid w:val="0094079A"/>
    <w:rsid w:val="009407F8"/>
    <w:rsid w:val="0094089E"/>
    <w:rsid w:val="00940C4A"/>
    <w:rsid w:val="00940D80"/>
    <w:rsid w:val="00941086"/>
    <w:rsid w:val="0094124B"/>
    <w:rsid w:val="009416DB"/>
    <w:rsid w:val="009417E4"/>
    <w:rsid w:val="00941948"/>
    <w:rsid w:val="00941E58"/>
    <w:rsid w:val="00942184"/>
    <w:rsid w:val="00942244"/>
    <w:rsid w:val="0094237A"/>
    <w:rsid w:val="009427FE"/>
    <w:rsid w:val="00942B78"/>
    <w:rsid w:val="00942EB2"/>
    <w:rsid w:val="009432A3"/>
    <w:rsid w:val="0094333C"/>
    <w:rsid w:val="009436D5"/>
    <w:rsid w:val="00943787"/>
    <w:rsid w:val="00943841"/>
    <w:rsid w:val="00943960"/>
    <w:rsid w:val="00943AF6"/>
    <w:rsid w:val="00943B12"/>
    <w:rsid w:val="00943B5D"/>
    <w:rsid w:val="00943B98"/>
    <w:rsid w:val="00944380"/>
    <w:rsid w:val="00944389"/>
    <w:rsid w:val="0094475D"/>
    <w:rsid w:val="00945249"/>
    <w:rsid w:val="00945613"/>
    <w:rsid w:val="009460A1"/>
    <w:rsid w:val="009463A7"/>
    <w:rsid w:val="0094645B"/>
    <w:rsid w:val="00946A5A"/>
    <w:rsid w:val="00946EDD"/>
    <w:rsid w:val="009472ED"/>
    <w:rsid w:val="00947B32"/>
    <w:rsid w:val="00947E27"/>
    <w:rsid w:val="009500D8"/>
    <w:rsid w:val="00950951"/>
    <w:rsid w:val="00950BFA"/>
    <w:rsid w:val="00951156"/>
    <w:rsid w:val="00951267"/>
    <w:rsid w:val="009513DC"/>
    <w:rsid w:val="00951487"/>
    <w:rsid w:val="0095167E"/>
    <w:rsid w:val="00951774"/>
    <w:rsid w:val="00951A74"/>
    <w:rsid w:val="00951AA1"/>
    <w:rsid w:val="00951AF0"/>
    <w:rsid w:val="00951C94"/>
    <w:rsid w:val="00951DFA"/>
    <w:rsid w:val="00951FAC"/>
    <w:rsid w:val="0095255E"/>
    <w:rsid w:val="00952CC3"/>
    <w:rsid w:val="00952D82"/>
    <w:rsid w:val="00952DD4"/>
    <w:rsid w:val="00952FD1"/>
    <w:rsid w:val="0095350D"/>
    <w:rsid w:val="0095373D"/>
    <w:rsid w:val="0095375B"/>
    <w:rsid w:val="00953DA6"/>
    <w:rsid w:val="00953E06"/>
    <w:rsid w:val="00954400"/>
    <w:rsid w:val="0095487A"/>
    <w:rsid w:val="00954B80"/>
    <w:rsid w:val="00955464"/>
    <w:rsid w:val="009554F7"/>
    <w:rsid w:val="009558FA"/>
    <w:rsid w:val="009559C3"/>
    <w:rsid w:val="00955B85"/>
    <w:rsid w:val="00955E67"/>
    <w:rsid w:val="00956437"/>
    <w:rsid w:val="00956461"/>
    <w:rsid w:val="00956785"/>
    <w:rsid w:val="00956995"/>
    <w:rsid w:val="00956BE9"/>
    <w:rsid w:val="00957188"/>
    <w:rsid w:val="00957390"/>
    <w:rsid w:val="009578FA"/>
    <w:rsid w:val="00957961"/>
    <w:rsid w:val="009579DB"/>
    <w:rsid w:val="00957C2A"/>
    <w:rsid w:val="00957F55"/>
    <w:rsid w:val="00957F6D"/>
    <w:rsid w:val="00960A6E"/>
    <w:rsid w:val="00960D52"/>
    <w:rsid w:val="0096108A"/>
    <w:rsid w:val="009610FB"/>
    <w:rsid w:val="009616FA"/>
    <w:rsid w:val="009618E4"/>
    <w:rsid w:val="009621F2"/>
    <w:rsid w:val="00962366"/>
    <w:rsid w:val="00962736"/>
    <w:rsid w:val="00962B6A"/>
    <w:rsid w:val="009632A6"/>
    <w:rsid w:val="00963AA7"/>
    <w:rsid w:val="00963F3D"/>
    <w:rsid w:val="00964180"/>
    <w:rsid w:val="00964322"/>
    <w:rsid w:val="009644EA"/>
    <w:rsid w:val="0096479F"/>
    <w:rsid w:val="00964972"/>
    <w:rsid w:val="009649AD"/>
    <w:rsid w:val="00964B67"/>
    <w:rsid w:val="00965028"/>
    <w:rsid w:val="009655FF"/>
    <w:rsid w:val="009659FE"/>
    <w:rsid w:val="00965EA4"/>
    <w:rsid w:val="009660E8"/>
    <w:rsid w:val="00966335"/>
    <w:rsid w:val="0096648D"/>
    <w:rsid w:val="00966530"/>
    <w:rsid w:val="00966D8A"/>
    <w:rsid w:val="00966E2E"/>
    <w:rsid w:val="00966F5B"/>
    <w:rsid w:val="00967808"/>
    <w:rsid w:val="0097056B"/>
    <w:rsid w:val="009709CF"/>
    <w:rsid w:val="00970B6F"/>
    <w:rsid w:val="00970EB9"/>
    <w:rsid w:val="009712E4"/>
    <w:rsid w:val="00971349"/>
    <w:rsid w:val="00971A55"/>
    <w:rsid w:val="00971B97"/>
    <w:rsid w:val="0097206C"/>
    <w:rsid w:val="00972937"/>
    <w:rsid w:val="00972A60"/>
    <w:rsid w:val="00972FC6"/>
    <w:rsid w:val="0097319D"/>
    <w:rsid w:val="00973520"/>
    <w:rsid w:val="00973899"/>
    <w:rsid w:val="00973945"/>
    <w:rsid w:val="00973C0B"/>
    <w:rsid w:val="00973EB7"/>
    <w:rsid w:val="00974058"/>
    <w:rsid w:val="00974301"/>
    <w:rsid w:val="0097442B"/>
    <w:rsid w:val="009744FF"/>
    <w:rsid w:val="009746BE"/>
    <w:rsid w:val="009749AC"/>
    <w:rsid w:val="009749E4"/>
    <w:rsid w:val="00974D3B"/>
    <w:rsid w:val="00974DA5"/>
    <w:rsid w:val="009754E4"/>
    <w:rsid w:val="00975703"/>
    <w:rsid w:val="00975956"/>
    <w:rsid w:val="00975DE9"/>
    <w:rsid w:val="00975ECB"/>
    <w:rsid w:val="00976179"/>
    <w:rsid w:val="0097672B"/>
    <w:rsid w:val="00976BA1"/>
    <w:rsid w:val="00976D1F"/>
    <w:rsid w:val="0097719C"/>
    <w:rsid w:val="0097733A"/>
    <w:rsid w:val="00980403"/>
    <w:rsid w:val="00980592"/>
    <w:rsid w:val="0098090C"/>
    <w:rsid w:val="00980AAD"/>
    <w:rsid w:val="00981509"/>
    <w:rsid w:val="0098153C"/>
    <w:rsid w:val="00981E0F"/>
    <w:rsid w:val="00981F0D"/>
    <w:rsid w:val="0098234A"/>
    <w:rsid w:val="009824DC"/>
    <w:rsid w:val="009826CB"/>
    <w:rsid w:val="00982F74"/>
    <w:rsid w:val="00983A38"/>
    <w:rsid w:val="00984062"/>
    <w:rsid w:val="00984128"/>
    <w:rsid w:val="00984417"/>
    <w:rsid w:val="0098444B"/>
    <w:rsid w:val="00984AFF"/>
    <w:rsid w:val="00984CAD"/>
    <w:rsid w:val="00984EDB"/>
    <w:rsid w:val="00984F83"/>
    <w:rsid w:val="00985A73"/>
    <w:rsid w:val="0098672E"/>
    <w:rsid w:val="00986928"/>
    <w:rsid w:val="00986C45"/>
    <w:rsid w:val="00986C90"/>
    <w:rsid w:val="00987358"/>
    <w:rsid w:val="00987379"/>
    <w:rsid w:val="009873A1"/>
    <w:rsid w:val="009874CA"/>
    <w:rsid w:val="0098779B"/>
    <w:rsid w:val="00987900"/>
    <w:rsid w:val="00987CB3"/>
    <w:rsid w:val="00990663"/>
    <w:rsid w:val="00990A09"/>
    <w:rsid w:val="00990BBA"/>
    <w:rsid w:val="009913E1"/>
    <w:rsid w:val="00991A29"/>
    <w:rsid w:val="00991F7C"/>
    <w:rsid w:val="00992049"/>
    <w:rsid w:val="009929D8"/>
    <w:rsid w:val="00993B0B"/>
    <w:rsid w:val="00994310"/>
    <w:rsid w:val="00994567"/>
    <w:rsid w:val="00994655"/>
    <w:rsid w:val="00994770"/>
    <w:rsid w:val="009947DF"/>
    <w:rsid w:val="009948C1"/>
    <w:rsid w:val="009949C8"/>
    <w:rsid w:val="00994B1D"/>
    <w:rsid w:val="00995279"/>
    <w:rsid w:val="009952B0"/>
    <w:rsid w:val="009956ED"/>
    <w:rsid w:val="0099577E"/>
    <w:rsid w:val="009960CC"/>
    <w:rsid w:val="00996C6C"/>
    <w:rsid w:val="00997554"/>
    <w:rsid w:val="00997596"/>
    <w:rsid w:val="009978B9"/>
    <w:rsid w:val="00997A9F"/>
    <w:rsid w:val="00997CB4"/>
    <w:rsid w:val="00997D8C"/>
    <w:rsid w:val="009A041E"/>
    <w:rsid w:val="009A0525"/>
    <w:rsid w:val="009A1070"/>
    <w:rsid w:val="009A1241"/>
    <w:rsid w:val="009A1272"/>
    <w:rsid w:val="009A12DF"/>
    <w:rsid w:val="009A2217"/>
    <w:rsid w:val="009A22C9"/>
    <w:rsid w:val="009A23B5"/>
    <w:rsid w:val="009A26B9"/>
    <w:rsid w:val="009A2941"/>
    <w:rsid w:val="009A29E1"/>
    <w:rsid w:val="009A2F26"/>
    <w:rsid w:val="009A2F92"/>
    <w:rsid w:val="009A38BD"/>
    <w:rsid w:val="009A3A0E"/>
    <w:rsid w:val="009A3A3C"/>
    <w:rsid w:val="009A4392"/>
    <w:rsid w:val="009A46D9"/>
    <w:rsid w:val="009A4840"/>
    <w:rsid w:val="009A4E92"/>
    <w:rsid w:val="009A58C0"/>
    <w:rsid w:val="009A597A"/>
    <w:rsid w:val="009A5A8D"/>
    <w:rsid w:val="009A5BB7"/>
    <w:rsid w:val="009A6AC4"/>
    <w:rsid w:val="009A6CA9"/>
    <w:rsid w:val="009A6CAE"/>
    <w:rsid w:val="009A6DFE"/>
    <w:rsid w:val="009A7204"/>
    <w:rsid w:val="009A7206"/>
    <w:rsid w:val="009A7AC3"/>
    <w:rsid w:val="009A7BD5"/>
    <w:rsid w:val="009A7D55"/>
    <w:rsid w:val="009B0246"/>
    <w:rsid w:val="009B09B2"/>
    <w:rsid w:val="009B0A1E"/>
    <w:rsid w:val="009B14E8"/>
    <w:rsid w:val="009B16B1"/>
    <w:rsid w:val="009B1FA5"/>
    <w:rsid w:val="009B1FD1"/>
    <w:rsid w:val="009B2FD8"/>
    <w:rsid w:val="009B3204"/>
    <w:rsid w:val="009B323B"/>
    <w:rsid w:val="009B327E"/>
    <w:rsid w:val="009B328A"/>
    <w:rsid w:val="009B37B7"/>
    <w:rsid w:val="009B3C15"/>
    <w:rsid w:val="009B4091"/>
    <w:rsid w:val="009B43B3"/>
    <w:rsid w:val="009B447C"/>
    <w:rsid w:val="009B4695"/>
    <w:rsid w:val="009B497B"/>
    <w:rsid w:val="009B4A83"/>
    <w:rsid w:val="009B4FF7"/>
    <w:rsid w:val="009B5B24"/>
    <w:rsid w:val="009B5B38"/>
    <w:rsid w:val="009B5C16"/>
    <w:rsid w:val="009B6259"/>
    <w:rsid w:val="009B6705"/>
    <w:rsid w:val="009B6939"/>
    <w:rsid w:val="009B6A81"/>
    <w:rsid w:val="009B6B59"/>
    <w:rsid w:val="009B6E6A"/>
    <w:rsid w:val="009B6F8C"/>
    <w:rsid w:val="009B767D"/>
    <w:rsid w:val="009B7F4A"/>
    <w:rsid w:val="009C0142"/>
    <w:rsid w:val="009C0393"/>
    <w:rsid w:val="009C04BD"/>
    <w:rsid w:val="009C0C14"/>
    <w:rsid w:val="009C0E19"/>
    <w:rsid w:val="009C0F1E"/>
    <w:rsid w:val="009C100F"/>
    <w:rsid w:val="009C14DC"/>
    <w:rsid w:val="009C19F9"/>
    <w:rsid w:val="009C1C28"/>
    <w:rsid w:val="009C1C40"/>
    <w:rsid w:val="009C34B6"/>
    <w:rsid w:val="009C35BE"/>
    <w:rsid w:val="009C376C"/>
    <w:rsid w:val="009C3AD3"/>
    <w:rsid w:val="009C41E4"/>
    <w:rsid w:val="009C43B8"/>
    <w:rsid w:val="009C4970"/>
    <w:rsid w:val="009C4B41"/>
    <w:rsid w:val="009C4E49"/>
    <w:rsid w:val="009C5037"/>
    <w:rsid w:val="009C53A5"/>
    <w:rsid w:val="009C542F"/>
    <w:rsid w:val="009C55A2"/>
    <w:rsid w:val="009C56FE"/>
    <w:rsid w:val="009C5BAF"/>
    <w:rsid w:val="009C6200"/>
    <w:rsid w:val="009C64DC"/>
    <w:rsid w:val="009C6A45"/>
    <w:rsid w:val="009C6BEE"/>
    <w:rsid w:val="009C74F0"/>
    <w:rsid w:val="009C7545"/>
    <w:rsid w:val="009C7566"/>
    <w:rsid w:val="009C7805"/>
    <w:rsid w:val="009C78DA"/>
    <w:rsid w:val="009C7B90"/>
    <w:rsid w:val="009D0359"/>
    <w:rsid w:val="009D06BA"/>
    <w:rsid w:val="009D084A"/>
    <w:rsid w:val="009D0AA9"/>
    <w:rsid w:val="009D0C2A"/>
    <w:rsid w:val="009D0CC1"/>
    <w:rsid w:val="009D0F0A"/>
    <w:rsid w:val="009D1053"/>
    <w:rsid w:val="009D162E"/>
    <w:rsid w:val="009D1697"/>
    <w:rsid w:val="009D1711"/>
    <w:rsid w:val="009D1FF9"/>
    <w:rsid w:val="009D2308"/>
    <w:rsid w:val="009D263F"/>
    <w:rsid w:val="009D29AB"/>
    <w:rsid w:val="009D2ADF"/>
    <w:rsid w:val="009D32F4"/>
    <w:rsid w:val="009D3B21"/>
    <w:rsid w:val="009D3C14"/>
    <w:rsid w:val="009D477F"/>
    <w:rsid w:val="009D4873"/>
    <w:rsid w:val="009D48BE"/>
    <w:rsid w:val="009D4E18"/>
    <w:rsid w:val="009D4ED0"/>
    <w:rsid w:val="009D561F"/>
    <w:rsid w:val="009D6BB1"/>
    <w:rsid w:val="009D6CD0"/>
    <w:rsid w:val="009D6F4E"/>
    <w:rsid w:val="009D6F84"/>
    <w:rsid w:val="009D70DD"/>
    <w:rsid w:val="009D728A"/>
    <w:rsid w:val="009D741F"/>
    <w:rsid w:val="009D7C10"/>
    <w:rsid w:val="009D7CD2"/>
    <w:rsid w:val="009D7CD5"/>
    <w:rsid w:val="009D7D56"/>
    <w:rsid w:val="009D7E25"/>
    <w:rsid w:val="009E037B"/>
    <w:rsid w:val="009E0C46"/>
    <w:rsid w:val="009E11A2"/>
    <w:rsid w:val="009E126C"/>
    <w:rsid w:val="009E12F8"/>
    <w:rsid w:val="009E138C"/>
    <w:rsid w:val="009E13CE"/>
    <w:rsid w:val="009E16BF"/>
    <w:rsid w:val="009E1855"/>
    <w:rsid w:val="009E1864"/>
    <w:rsid w:val="009E1A28"/>
    <w:rsid w:val="009E1EC6"/>
    <w:rsid w:val="009E1ED2"/>
    <w:rsid w:val="009E2192"/>
    <w:rsid w:val="009E2658"/>
    <w:rsid w:val="009E286D"/>
    <w:rsid w:val="009E3607"/>
    <w:rsid w:val="009E3664"/>
    <w:rsid w:val="009E3AF1"/>
    <w:rsid w:val="009E4453"/>
    <w:rsid w:val="009E456C"/>
    <w:rsid w:val="009E4614"/>
    <w:rsid w:val="009E4A9A"/>
    <w:rsid w:val="009E4CAE"/>
    <w:rsid w:val="009E51C8"/>
    <w:rsid w:val="009E5739"/>
    <w:rsid w:val="009E5945"/>
    <w:rsid w:val="009E5AA2"/>
    <w:rsid w:val="009E5EE5"/>
    <w:rsid w:val="009E60B0"/>
    <w:rsid w:val="009E6ACB"/>
    <w:rsid w:val="009E6CB1"/>
    <w:rsid w:val="009E7390"/>
    <w:rsid w:val="009E750A"/>
    <w:rsid w:val="009E7891"/>
    <w:rsid w:val="009E79C7"/>
    <w:rsid w:val="009E7B66"/>
    <w:rsid w:val="009E7DC3"/>
    <w:rsid w:val="009F038F"/>
    <w:rsid w:val="009F0A5D"/>
    <w:rsid w:val="009F0AF2"/>
    <w:rsid w:val="009F0E55"/>
    <w:rsid w:val="009F0EAF"/>
    <w:rsid w:val="009F0FDB"/>
    <w:rsid w:val="009F11EE"/>
    <w:rsid w:val="009F1763"/>
    <w:rsid w:val="009F1A8F"/>
    <w:rsid w:val="009F1F18"/>
    <w:rsid w:val="009F2200"/>
    <w:rsid w:val="009F255C"/>
    <w:rsid w:val="009F2877"/>
    <w:rsid w:val="009F29A1"/>
    <w:rsid w:val="009F2C1B"/>
    <w:rsid w:val="009F2C90"/>
    <w:rsid w:val="009F2F09"/>
    <w:rsid w:val="009F30F2"/>
    <w:rsid w:val="009F3154"/>
    <w:rsid w:val="009F342C"/>
    <w:rsid w:val="009F3621"/>
    <w:rsid w:val="009F37FC"/>
    <w:rsid w:val="009F39E7"/>
    <w:rsid w:val="009F3B4D"/>
    <w:rsid w:val="009F3C48"/>
    <w:rsid w:val="009F3EFE"/>
    <w:rsid w:val="009F3FC9"/>
    <w:rsid w:val="009F4419"/>
    <w:rsid w:val="009F450D"/>
    <w:rsid w:val="009F4666"/>
    <w:rsid w:val="009F48B0"/>
    <w:rsid w:val="009F4C82"/>
    <w:rsid w:val="009F4CB9"/>
    <w:rsid w:val="009F4CF2"/>
    <w:rsid w:val="009F50FE"/>
    <w:rsid w:val="009F51B1"/>
    <w:rsid w:val="009F5911"/>
    <w:rsid w:val="009F5B02"/>
    <w:rsid w:val="009F6054"/>
    <w:rsid w:val="009F665F"/>
    <w:rsid w:val="009F6BFC"/>
    <w:rsid w:val="009F6F91"/>
    <w:rsid w:val="009F720A"/>
    <w:rsid w:val="009F77BC"/>
    <w:rsid w:val="009F77F0"/>
    <w:rsid w:val="009F7A79"/>
    <w:rsid w:val="009F7D18"/>
    <w:rsid w:val="009F7E87"/>
    <w:rsid w:val="009F7EB4"/>
    <w:rsid w:val="00A007D9"/>
    <w:rsid w:val="00A00815"/>
    <w:rsid w:val="00A00890"/>
    <w:rsid w:val="00A00B51"/>
    <w:rsid w:val="00A01BDB"/>
    <w:rsid w:val="00A01DC2"/>
    <w:rsid w:val="00A02120"/>
    <w:rsid w:val="00A02454"/>
    <w:rsid w:val="00A0259C"/>
    <w:rsid w:val="00A028C3"/>
    <w:rsid w:val="00A02C6D"/>
    <w:rsid w:val="00A02C75"/>
    <w:rsid w:val="00A02E56"/>
    <w:rsid w:val="00A03009"/>
    <w:rsid w:val="00A033B3"/>
    <w:rsid w:val="00A03602"/>
    <w:rsid w:val="00A036A4"/>
    <w:rsid w:val="00A0375D"/>
    <w:rsid w:val="00A03BC2"/>
    <w:rsid w:val="00A03C39"/>
    <w:rsid w:val="00A03FEB"/>
    <w:rsid w:val="00A040AD"/>
    <w:rsid w:val="00A0422D"/>
    <w:rsid w:val="00A04B53"/>
    <w:rsid w:val="00A04E28"/>
    <w:rsid w:val="00A04F4D"/>
    <w:rsid w:val="00A050B0"/>
    <w:rsid w:val="00A055CB"/>
    <w:rsid w:val="00A05ADE"/>
    <w:rsid w:val="00A05C55"/>
    <w:rsid w:val="00A060DF"/>
    <w:rsid w:val="00A060F5"/>
    <w:rsid w:val="00A063AC"/>
    <w:rsid w:val="00A06766"/>
    <w:rsid w:val="00A0678A"/>
    <w:rsid w:val="00A06C27"/>
    <w:rsid w:val="00A06C8C"/>
    <w:rsid w:val="00A072D6"/>
    <w:rsid w:val="00A0765B"/>
    <w:rsid w:val="00A07921"/>
    <w:rsid w:val="00A07D0D"/>
    <w:rsid w:val="00A07F40"/>
    <w:rsid w:val="00A104EC"/>
    <w:rsid w:val="00A1061D"/>
    <w:rsid w:val="00A10855"/>
    <w:rsid w:val="00A10DBB"/>
    <w:rsid w:val="00A110D3"/>
    <w:rsid w:val="00A11CD2"/>
    <w:rsid w:val="00A120BC"/>
    <w:rsid w:val="00A125AE"/>
    <w:rsid w:val="00A12962"/>
    <w:rsid w:val="00A12A87"/>
    <w:rsid w:val="00A12FB5"/>
    <w:rsid w:val="00A133B3"/>
    <w:rsid w:val="00A1359A"/>
    <w:rsid w:val="00A13A90"/>
    <w:rsid w:val="00A13CBA"/>
    <w:rsid w:val="00A13CD5"/>
    <w:rsid w:val="00A14037"/>
    <w:rsid w:val="00A14286"/>
    <w:rsid w:val="00A1433C"/>
    <w:rsid w:val="00A14504"/>
    <w:rsid w:val="00A14C7E"/>
    <w:rsid w:val="00A151BA"/>
    <w:rsid w:val="00A1527F"/>
    <w:rsid w:val="00A1539C"/>
    <w:rsid w:val="00A156D2"/>
    <w:rsid w:val="00A1587F"/>
    <w:rsid w:val="00A16030"/>
    <w:rsid w:val="00A16151"/>
    <w:rsid w:val="00A16376"/>
    <w:rsid w:val="00A16720"/>
    <w:rsid w:val="00A1681D"/>
    <w:rsid w:val="00A16B9D"/>
    <w:rsid w:val="00A16D96"/>
    <w:rsid w:val="00A1711C"/>
    <w:rsid w:val="00A17338"/>
    <w:rsid w:val="00A17D9C"/>
    <w:rsid w:val="00A20135"/>
    <w:rsid w:val="00A2048C"/>
    <w:rsid w:val="00A2072E"/>
    <w:rsid w:val="00A20786"/>
    <w:rsid w:val="00A20D2F"/>
    <w:rsid w:val="00A215C8"/>
    <w:rsid w:val="00A21646"/>
    <w:rsid w:val="00A21B98"/>
    <w:rsid w:val="00A21D1E"/>
    <w:rsid w:val="00A21E71"/>
    <w:rsid w:val="00A21E99"/>
    <w:rsid w:val="00A224FD"/>
    <w:rsid w:val="00A22745"/>
    <w:rsid w:val="00A228E0"/>
    <w:rsid w:val="00A229E9"/>
    <w:rsid w:val="00A22A58"/>
    <w:rsid w:val="00A22B1C"/>
    <w:rsid w:val="00A2318A"/>
    <w:rsid w:val="00A2321B"/>
    <w:rsid w:val="00A236E1"/>
    <w:rsid w:val="00A23A20"/>
    <w:rsid w:val="00A23C56"/>
    <w:rsid w:val="00A2415C"/>
    <w:rsid w:val="00A242C6"/>
    <w:rsid w:val="00A24995"/>
    <w:rsid w:val="00A24BF9"/>
    <w:rsid w:val="00A25D06"/>
    <w:rsid w:val="00A2610F"/>
    <w:rsid w:val="00A26327"/>
    <w:rsid w:val="00A26B7E"/>
    <w:rsid w:val="00A270FB"/>
    <w:rsid w:val="00A273A5"/>
    <w:rsid w:val="00A2793C"/>
    <w:rsid w:val="00A3003A"/>
    <w:rsid w:val="00A30058"/>
    <w:rsid w:val="00A304D2"/>
    <w:rsid w:val="00A3052C"/>
    <w:rsid w:val="00A305CC"/>
    <w:rsid w:val="00A306D6"/>
    <w:rsid w:val="00A31232"/>
    <w:rsid w:val="00A31741"/>
    <w:rsid w:val="00A318AA"/>
    <w:rsid w:val="00A31D22"/>
    <w:rsid w:val="00A31F9A"/>
    <w:rsid w:val="00A31FCB"/>
    <w:rsid w:val="00A32057"/>
    <w:rsid w:val="00A32254"/>
    <w:rsid w:val="00A3239C"/>
    <w:rsid w:val="00A32662"/>
    <w:rsid w:val="00A327D8"/>
    <w:rsid w:val="00A32C34"/>
    <w:rsid w:val="00A32D99"/>
    <w:rsid w:val="00A33186"/>
    <w:rsid w:val="00A3363E"/>
    <w:rsid w:val="00A33853"/>
    <w:rsid w:val="00A338A2"/>
    <w:rsid w:val="00A339C6"/>
    <w:rsid w:val="00A344E0"/>
    <w:rsid w:val="00A3476B"/>
    <w:rsid w:val="00A349FB"/>
    <w:rsid w:val="00A34D79"/>
    <w:rsid w:val="00A34FD1"/>
    <w:rsid w:val="00A359CB"/>
    <w:rsid w:val="00A36013"/>
    <w:rsid w:val="00A36253"/>
    <w:rsid w:val="00A36505"/>
    <w:rsid w:val="00A36707"/>
    <w:rsid w:val="00A369B9"/>
    <w:rsid w:val="00A36A8D"/>
    <w:rsid w:val="00A37313"/>
    <w:rsid w:val="00A37614"/>
    <w:rsid w:val="00A37925"/>
    <w:rsid w:val="00A37ACD"/>
    <w:rsid w:val="00A401CC"/>
    <w:rsid w:val="00A4030E"/>
    <w:rsid w:val="00A40D79"/>
    <w:rsid w:val="00A414A7"/>
    <w:rsid w:val="00A416E1"/>
    <w:rsid w:val="00A4193F"/>
    <w:rsid w:val="00A41952"/>
    <w:rsid w:val="00A41DC2"/>
    <w:rsid w:val="00A420F3"/>
    <w:rsid w:val="00A42159"/>
    <w:rsid w:val="00A4278C"/>
    <w:rsid w:val="00A4292B"/>
    <w:rsid w:val="00A42EAC"/>
    <w:rsid w:val="00A4302E"/>
    <w:rsid w:val="00A43056"/>
    <w:rsid w:val="00A43220"/>
    <w:rsid w:val="00A435FD"/>
    <w:rsid w:val="00A439CD"/>
    <w:rsid w:val="00A43A0B"/>
    <w:rsid w:val="00A43A58"/>
    <w:rsid w:val="00A44501"/>
    <w:rsid w:val="00A445F6"/>
    <w:rsid w:val="00A4494C"/>
    <w:rsid w:val="00A4495E"/>
    <w:rsid w:val="00A4499F"/>
    <w:rsid w:val="00A454CD"/>
    <w:rsid w:val="00A45AB4"/>
    <w:rsid w:val="00A45D9C"/>
    <w:rsid w:val="00A46257"/>
    <w:rsid w:val="00A4625C"/>
    <w:rsid w:val="00A46581"/>
    <w:rsid w:val="00A46730"/>
    <w:rsid w:val="00A4690C"/>
    <w:rsid w:val="00A46F14"/>
    <w:rsid w:val="00A47348"/>
    <w:rsid w:val="00A47619"/>
    <w:rsid w:val="00A47809"/>
    <w:rsid w:val="00A47894"/>
    <w:rsid w:val="00A47FA4"/>
    <w:rsid w:val="00A5076A"/>
    <w:rsid w:val="00A507B6"/>
    <w:rsid w:val="00A50E60"/>
    <w:rsid w:val="00A5108A"/>
    <w:rsid w:val="00A5110F"/>
    <w:rsid w:val="00A51153"/>
    <w:rsid w:val="00A511FE"/>
    <w:rsid w:val="00A5132C"/>
    <w:rsid w:val="00A5159B"/>
    <w:rsid w:val="00A5176B"/>
    <w:rsid w:val="00A51852"/>
    <w:rsid w:val="00A51ABF"/>
    <w:rsid w:val="00A51EF7"/>
    <w:rsid w:val="00A51F35"/>
    <w:rsid w:val="00A52169"/>
    <w:rsid w:val="00A52195"/>
    <w:rsid w:val="00A52312"/>
    <w:rsid w:val="00A5234C"/>
    <w:rsid w:val="00A52381"/>
    <w:rsid w:val="00A5238A"/>
    <w:rsid w:val="00A52975"/>
    <w:rsid w:val="00A52A5B"/>
    <w:rsid w:val="00A52F0B"/>
    <w:rsid w:val="00A52FBC"/>
    <w:rsid w:val="00A53733"/>
    <w:rsid w:val="00A53C17"/>
    <w:rsid w:val="00A53E9E"/>
    <w:rsid w:val="00A54A7D"/>
    <w:rsid w:val="00A54F74"/>
    <w:rsid w:val="00A552B4"/>
    <w:rsid w:val="00A556A5"/>
    <w:rsid w:val="00A563EC"/>
    <w:rsid w:val="00A565EC"/>
    <w:rsid w:val="00A5675A"/>
    <w:rsid w:val="00A57097"/>
    <w:rsid w:val="00A577B9"/>
    <w:rsid w:val="00A57A27"/>
    <w:rsid w:val="00A57F02"/>
    <w:rsid w:val="00A60667"/>
    <w:rsid w:val="00A606A5"/>
    <w:rsid w:val="00A60D96"/>
    <w:rsid w:val="00A60E31"/>
    <w:rsid w:val="00A61421"/>
    <w:rsid w:val="00A61785"/>
    <w:rsid w:val="00A61A82"/>
    <w:rsid w:val="00A61B85"/>
    <w:rsid w:val="00A61C8E"/>
    <w:rsid w:val="00A61EDB"/>
    <w:rsid w:val="00A61F67"/>
    <w:rsid w:val="00A6255C"/>
    <w:rsid w:val="00A629F9"/>
    <w:rsid w:val="00A62EEC"/>
    <w:rsid w:val="00A62FE3"/>
    <w:rsid w:val="00A62FFA"/>
    <w:rsid w:val="00A630B3"/>
    <w:rsid w:val="00A63250"/>
    <w:rsid w:val="00A638A5"/>
    <w:rsid w:val="00A63A50"/>
    <w:rsid w:val="00A63D70"/>
    <w:rsid w:val="00A6436E"/>
    <w:rsid w:val="00A644D7"/>
    <w:rsid w:val="00A64693"/>
    <w:rsid w:val="00A64C5E"/>
    <w:rsid w:val="00A6509F"/>
    <w:rsid w:val="00A6511B"/>
    <w:rsid w:val="00A6549F"/>
    <w:rsid w:val="00A654F8"/>
    <w:rsid w:val="00A6590E"/>
    <w:rsid w:val="00A65986"/>
    <w:rsid w:val="00A65B07"/>
    <w:rsid w:val="00A66350"/>
    <w:rsid w:val="00A6690F"/>
    <w:rsid w:val="00A66B50"/>
    <w:rsid w:val="00A66C2C"/>
    <w:rsid w:val="00A66C2D"/>
    <w:rsid w:val="00A6774C"/>
    <w:rsid w:val="00A70156"/>
    <w:rsid w:val="00A70194"/>
    <w:rsid w:val="00A7053B"/>
    <w:rsid w:val="00A7059D"/>
    <w:rsid w:val="00A7066E"/>
    <w:rsid w:val="00A70B83"/>
    <w:rsid w:val="00A70D0A"/>
    <w:rsid w:val="00A70DE3"/>
    <w:rsid w:val="00A70F81"/>
    <w:rsid w:val="00A713B6"/>
    <w:rsid w:val="00A72240"/>
    <w:rsid w:val="00A725F4"/>
    <w:rsid w:val="00A729C6"/>
    <w:rsid w:val="00A72E15"/>
    <w:rsid w:val="00A7312E"/>
    <w:rsid w:val="00A7344B"/>
    <w:rsid w:val="00A73887"/>
    <w:rsid w:val="00A73C63"/>
    <w:rsid w:val="00A74598"/>
    <w:rsid w:val="00A74783"/>
    <w:rsid w:val="00A748AB"/>
    <w:rsid w:val="00A74B6D"/>
    <w:rsid w:val="00A75148"/>
    <w:rsid w:val="00A7522C"/>
    <w:rsid w:val="00A75665"/>
    <w:rsid w:val="00A756DB"/>
    <w:rsid w:val="00A7574C"/>
    <w:rsid w:val="00A75BB6"/>
    <w:rsid w:val="00A75CC1"/>
    <w:rsid w:val="00A75E20"/>
    <w:rsid w:val="00A760CB"/>
    <w:rsid w:val="00A76332"/>
    <w:rsid w:val="00A767FF"/>
    <w:rsid w:val="00A76C67"/>
    <w:rsid w:val="00A772F7"/>
    <w:rsid w:val="00A775E7"/>
    <w:rsid w:val="00A77A59"/>
    <w:rsid w:val="00A77ABC"/>
    <w:rsid w:val="00A77DD5"/>
    <w:rsid w:val="00A801AE"/>
    <w:rsid w:val="00A80408"/>
    <w:rsid w:val="00A80A12"/>
    <w:rsid w:val="00A80AAA"/>
    <w:rsid w:val="00A80AD5"/>
    <w:rsid w:val="00A80B9C"/>
    <w:rsid w:val="00A80D7A"/>
    <w:rsid w:val="00A81208"/>
    <w:rsid w:val="00A8131B"/>
    <w:rsid w:val="00A81C94"/>
    <w:rsid w:val="00A82323"/>
    <w:rsid w:val="00A82518"/>
    <w:rsid w:val="00A82689"/>
    <w:rsid w:val="00A82AFB"/>
    <w:rsid w:val="00A83051"/>
    <w:rsid w:val="00A83B2C"/>
    <w:rsid w:val="00A83B9A"/>
    <w:rsid w:val="00A83C5B"/>
    <w:rsid w:val="00A84256"/>
    <w:rsid w:val="00A8440B"/>
    <w:rsid w:val="00A8517E"/>
    <w:rsid w:val="00A85653"/>
    <w:rsid w:val="00A85E19"/>
    <w:rsid w:val="00A85E96"/>
    <w:rsid w:val="00A860E6"/>
    <w:rsid w:val="00A86270"/>
    <w:rsid w:val="00A862A4"/>
    <w:rsid w:val="00A86367"/>
    <w:rsid w:val="00A866B7"/>
    <w:rsid w:val="00A86768"/>
    <w:rsid w:val="00A86B22"/>
    <w:rsid w:val="00A86BA6"/>
    <w:rsid w:val="00A86C4B"/>
    <w:rsid w:val="00A86FC8"/>
    <w:rsid w:val="00A87018"/>
    <w:rsid w:val="00A8708C"/>
    <w:rsid w:val="00A871E1"/>
    <w:rsid w:val="00A87450"/>
    <w:rsid w:val="00A874F8"/>
    <w:rsid w:val="00A877ED"/>
    <w:rsid w:val="00A8799C"/>
    <w:rsid w:val="00A87D36"/>
    <w:rsid w:val="00A87D8C"/>
    <w:rsid w:val="00A90181"/>
    <w:rsid w:val="00A906C8"/>
    <w:rsid w:val="00A9115A"/>
    <w:rsid w:val="00A913F7"/>
    <w:rsid w:val="00A918AE"/>
    <w:rsid w:val="00A9190F"/>
    <w:rsid w:val="00A91A9B"/>
    <w:rsid w:val="00A92374"/>
    <w:rsid w:val="00A92A21"/>
    <w:rsid w:val="00A92AF5"/>
    <w:rsid w:val="00A92CE4"/>
    <w:rsid w:val="00A92CE7"/>
    <w:rsid w:val="00A93458"/>
    <w:rsid w:val="00A93615"/>
    <w:rsid w:val="00A93667"/>
    <w:rsid w:val="00A93728"/>
    <w:rsid w:val="00A93A7B"/>
    <w:rsid w:val="00A93ED6"/>
    <w:rsid w:val="00A945BF"/>
    <w:rsid w:val="00A94B00"/>
    <w:rsid w:val="00A94C3F"/>
    <w:rsid w:val="00A94D09"/>
    <w:rsid w:val="00A94F2E"/>
    <w:rsid w:val="00A95234"/>
    <w:rsid w:val="00A955EE"/>
    <w:rsid w:val="00A95731"/>
    <w:rsid w:val="00A95970"/>
    <w:rsid w:val="00A95EC4"/>
    <w:rsid w:val="00A95F9B"/>
    <w:rsid w:val="00A95FF1"/>
    <w:rsid w:val="00A964C4"/>
    <w:rsid w:val="00A96768"/>
    <w:rsid w:val="00A96D67"/>
    <w:rsid w:val="00A96D85"/>
    <w:rsid w:val="00A96E2C"/>
    <w:rsid w:val="00A96E2D"/>
    <w:rsid w:val="00A97444"/>
    <w:rsid w:val="00A9761F"/>
    <w:rsid w:val="00A976A1"/>
    <w:rsid w:val="00AA01C5"/>
    <w:rsid w:val="00AA04F1"/>
    <w:rsid w:val="00AA0544"/>
    <w:rsid w:val="00AA089E"/>
    <w:rsid w:val="00AA0ADC"/>
    <w:rsid w:val="00AA1164"/>
    <w:rsid w:val="00AA18B4"/>
    <w:rsid w:val="00AA1A92"/>
    <w:rsid w:val="00AA1BD2"/>
    <w:rsid w:val="00AA2089"/>
    <w:rsid w:val="00AA2A0B"/>
    <w:rsid w:val="00AA2D0A"/>
    <w:rsid w:val="00AA2EBB"/>
    <w:rsid w:val="00AA2F02"/>
    <w:rsid w:val="00AA3000"/>
    <w:rsid w:val="00AA303E"/>
    <w:rsid w:val="00AA33F4"/>
    <w:rsid w:val="00AA34A6"/>
    <w:rsid w:val="00AA3895"/>
    <w:rsid w:val="00AA3A06"/>
    <w:rsid w:val="00AA414E"/>
    <w:rsid w:val="00AA41A3"/>
    <w:rsid w:val="00AA440F"/>
    <w:rsid w:val="00AA4A5B"/>
    <w:rsid w:val="00AA4B80"/>
    <w:rsid w:val="00AA4E95"/>
    <w:rsid w:val="00AA4EE6"/>
    <w:rsid w:val="00AA4FAA"/>
    <w:rsid w:val="00AA5009"/>
    <w:rsid w:val="00AA5447"/>
    <w:rsid w:val="00AA61FC"/>
    <w:rsid w:val="00AA69A2"/>
    <w:rsid w:val="00AA69ED"/>
    <w:rsid w:val="00AA6A23"/>
    <w:rsid w:val="00AA6A3B"/>
    <w:rsid w:val="00AA6A83"/>
    <w:rsid w:val="00AA6F1E"/>
    <w:rsid w:val="00AA71F5"/>
    <w:rsid w:val="00AA722A"/>
    <w:rsid w:val="00AA7329"/>
    <w:rsid w:val="00AA7495"/>
    <w:rsid w:val="00AA7C79"/>
    <w:rsid w:val="00AA7EC4"/>
    <w:rsid w:val="00AA7FEA"/>
    <w:rsid w:val="00AB03FA"/>
    <w:rsid w:val="00AB0420"/>
    <w:rsid w:val="00AB04A1"/>
    <w:rsid w:val="00AB09DB"/>
    <w:rsid w:val="00AB0A1C"/>
    <w:rsid w:val="00AB0AA1"/>
    <w:rsid w:val="00AB1623"/>
    <w:rsid w:val="00AB174B"/>
    <w:rsid w:val="00AB1840"/>
    <w:rsid w:val="00AB1EF3"/>
    <w:rsid w:val="00AB1FAD"/>
    <w:rsid w:val="00AB2038"/>
    <w:rsid w:val="00AB215F"/>
    <w:rsid w:val="00AB22CD"/>
    <w:rsid w:val="00AB24C5"/>
    <w:rsid w:val="00AB2737"/>
    <w:rsid w:val="00AB2B78"/>
    <w:rsid w:val="00AB33CC"/>
    <w:rsid w:val="00AB369C"/>
    <w:rsid w:val="00AB3839"/>
    <w:rsid w:val="00AB3A1C"/>
    <w:rsid w:val="00AB3A6F"/>
    <w:rsid w:val="00AB4088"/>
    <w:rsid w:val="00AB44DA"/>
    <w:rsid w:val="00AB45B6"/>
    <w:rsid w:val="00AB4726"/>
    <w:rsid w:val="00AB4786"/>
    <w:rsid w:val="00AB4814"/>
    <w:rsid w:val="00AB4A89"/>
    <w:rsid w:val="00AB4CAC"/>
    <w:rsid w:val="00AB4CB9"/>
    <w:rsid w:val="00AB4F52"/>
    <w:rsid w:val="00AB56D2"/>
    <w:rsid w:val="00AB5B01"/>
    <w:rsid w:val="00AB6165"/>
    <w:rsid w:val="00AB6219"/>
    <w:rsid w:val="00AB638A"/>
    <w:rsid w:val="00AB66CC"/>
    <w:rsid w:val="00AB6975"/>
    <w:rsid w:val="00AB698D"/>
    <w:rsid w:val="00AB7040"/>
    <w:rsid w:val="00AB71AB"/>
    <w:rsid w:val="00AB77D4"/>
    <w:rsid w:val="00AB7B4F"/>
    <w:rsid w:val="00AB7E9D"/>
    <w:rsid w:val="00AB7ED3"/>
    <w:rsid w:val="00AC0966"/>
    <w:rsid w:val="00AC0CFC"/>
    <w:rsid w:val="00AC0FAD"/>
    <w:rsid w:val="00AC1012"/>
    <w:rsid w:val="00AC10C7"/>
    <w:rsid w:val="00AC14A5"/>
    <w:rsid w:val="00AC150B"/>
    <w:rsid w:val="00AC1718"/>
    <w:rsid w:val="00AC1FF1"/>
    <w:rsid w:val="00AC217B"/>
    <w:rsid w:val="00AC21E7"/>
    <w:rsid w:val="00AC23EF"/>
    <w:rsid w:val="00AC2A9D"/>
    <w:rsid w:val="00AC2B88"/>
    <w:rsid w:val="00AC2BDA"/>
    <w:rsid w:val="00AC3269"/>
    <w:rsid w:val="00AC3850"/>
    <w:rsid w:val="00AC3C03"/>
    <w:rsid w:val="00AC3E7D"/>
    <w:rsid w:val="00AC3F10"/>
    <w:rsid w:val="00AC420A"/>
    <w:rsid w:val="00AC4579"/>
    <w:rsid w:val="00AC5009"/>
    <w:rsid w:val="00AC5807"/>
    <w:rsid w:val="00AC582E"/>
    <w:rsid w:val="00AC5A80"/>
    <w:rsid w:val="00AC5B0E"/>
    <w:rsid w:val="00AC60D3"/>
    <w:rsid w:val="00AC60DF"/>
    <w:rsid w:val="00AC68C4"/>
    <w:rsid w:val="00AC698B"/>
    <w:rsid w:val="00AC6BAF"/>
    <w:rsid w:val="00AC711D"/>
    <w:rsid w:val="00AC757D"/>
    <w:rsid w:val="00AC75C0"/>
    <w:rsid w:val="00AC7674"/>
    <w:rsid w:val="00AC781B"/>
    <w:rsid w:val="00AD064A"/>
    <w:rsid w:val="00AD07FF"/>
    <w:rsid w:val="00AD082D"/>
    <w:rsid w:val="00AD0931"/>
    <w:rsid w:val="00AD159E"/>
    <w:rsid w:val="00AD163C"/>
    <w:rsid w:val="00AD1C18"/>
    <w:rsid w:val="00AD1EF3"/>
    <w:rsid w:val="00AD216B"/>
    <w:rsid w:val="00AD257D"/>
    <w:rsid w:val="00AD298B"/>
    <w:rsid w:val="00AD2ED8"/>
    <w:rsid w:val="00AD3073"/>
    <w:rsid w:val="00AD368B"/>
    <w:rsid w:val="00AD384A"/>
    <w:rsid w:val="00AD442E"/>
    <w:rsid w:val="00AD44EB"/>
    <w:rsid w:val="00AD48EC"/>
    <w:rsid w:val="00AD4DBE"/>
    <w:rsid w:val="00AD4E6E"/>
    <w:rsid w:val="00AD55E2"/>
    <w:rsid w:val="00AD55EF"/>
    <w:rsid w:val="00AD563E"/>
    <w:rsid w:val="00AD581D"/>
    <w:rsid w:val="00AD58A7"/>
    <w:rsid w:val="00AD5B99"/>
    <w:rsid w:val="00AD6322"/>
    <w:rsid w:val="00AD6477"/>
    <w:rsid w:val="00AD64FC"/>
    <w:rsid w:val="00AD6DFF"/>
    <w:rsid w:val="00AD745B"/>
    <w:rsid w:val="00AD7588"/>
    <w:rsid w:val="00AD78F9"/>
    <w:rsid w:val="00AD7B4F"/>
    <w:rsid w:val="00AE05B3"/>
    <w:rsid w:val="00AE06CD"/>
    <w:rsid w:val="00AE0732"/>
    <w:rsid w:val="00AE0947"/>
    <w:rsid w:val="00AE0974"/>
    <w:rsid w:val="00AE09AD"/>
    <w:rsid w:val="00AE0D43"/>
    <w:rsid w:val="00AE0FAF"/>
    <w:rsid w:val="00AE12AD"/>
    <w:rsid w:val="00AE1845"/>
    <w:rsid w:val="00AE19B2"/>
    <w:rsid w:val="00AE1A8C"/>
    <w:rsid w:val="00AE1C9C"/>
    <w:rsid w:val="00AE1D4A"/>
    <w:rsid w:val="00AE1F91"/>
    <w:rsid w:val="00AE21C8"/>
    <w:rsid w:val="00AE224F"/>
    <w:rsid w:val="00AE2370"/>
    <w:rsid w:val="00AE2D26"/>
    <w:rsid w:val="00AE2E21"/>
    <w:rsid w:val="00AE2EE5"/>
    <w:rsid w:val="00AE2F3B"/>
    <w:rsid w:val="00AE3573"/>
    <w:rsid w:val="00AE3F90"/>
    <w:rsid w:val="00AE3FFC"/>
    <w:rsid w:val="00AE4688"/>
    <w:rsid w:val="00AE4743"/>
    <w:rsid w:val="00AE4A9C"/>
    <w:rsid w:val="00AE4F39"/>
    <w:rsid w:val="00AE540F"/>
    <w:rsid w:val="00AE56F6"/>
    <w:rsid w:val="00AE581A"/>
    <w:rsid w:val="00AE584A"/>
    <w:rsid w:val="00AE6076"/>
    <w:rsid w:val="00AE6212"/>
    <w:rsid w:val="00AE62B1"/>
    <w:rsid w:val="00AE6350"/>
    <w:rsid w:val="00AE6360"/>
    <w:rsid w:val="00AE63D5"/>
    <w:rsid w:val="00AE6775"/>
    <w:rsid w:val="00AE67A8"/>
    <w:rsid w:val="00AE6B19"/>
    <w:rsid w:val="00AE6D3A"/>
    <w:rsid w:val="00AE6DA2"/>
    <w:rsid w:val="00AE7635"/>
    <w:rsid w:val="00AE7769"/>
    <w:rsid w:val="00AE7C29"/>
    <w:rsid w:val="00AF0324"/>
    <w:rsid w:val="00AF05DF"/>
    <w:rsid w:val="00AF0AE1"/>
    <w:rsid w:val="00AF0D5E"/>
    <w:rsid w:val="00AF0DC9"/>
    <w:rsid w:val="00AF0F6E"/>
    <w:rsid w:val="00AF0F9F"/>
    <w:rsid w:val="00AF1408"/>
    <w:rsid w:val="00AF17DA"/>
    <w:rsid w:val="00AF1A18"/>
    <w:rsid w:val="00AF2036"/>
    <w:rsid w:val="00AF2381"/>
    <w:rsid w:val="00AF267E"/>
    <w:rsid w:val="00AF27F1"/>
    <w:rsid w:val="00AF28B0"/>
    <w:rsid w:val="00AF2A92"/>
    <w:rsid w:val="00AF2E85"/>
    <w:rsid w:val="00AF38F3"/>
    <w:rsid w:val="00AF39B8"/>
    <w:rsid w:val="00AF3AC0"/>
    <w:rsid w:val="00AF43FB"/>
    <w:rsid w:val="00AF4691"/>
    <w:rsid w:val="00AF4943"/>
    <w:rsid w:val="00AF4BC9"/>
    <w:rsid w:val="00AF4E7C"/>
    <w:rsid w:val="00AF4EA3"/>
    <w:rsid w:val="00AF5DEA"/>
    <w:rsid w:val="00AF64E3"/>
    <w:rsid w:val="00AF65E9"/>
    <w:rsid w:val="00AF6726"/>
    <w:rsid w:val="00AF681B"/>
    <w:rsid w:val="00AF6AAB"/>
    <w:rsid w:val="00AF6C50"/>
    <w:rsid w:val="00AF6F5C"/>
    <w:rsid w:val="00AF6FAE"/>
    <w:rsid w:val="00AF77B3"/>
    <w:rsid w:val="00AF7904"/>
    <w:rsid w:val="00AF7BCC"/>
    <w:rsid w:val="00AF7DC6"/>
    <w:rsid w:val="00B004A3"/>
    <w:rsid w:val="00B0065D"/>
    <w:rsid w:val="00B00915"/>
    <w:rsid w:val="00B00B3D"/>
    <w:rsid w:val="00B00F57"/>
    <w:rsid w:val="00B01178"/>
    <w:rsid w:val="00B01892"/>
    <w:rsid w:val="00B01B35"/>
    <w:rsid w:val="00B027C0"/>
    <w:rsid w:val="00B029C1"/>
    <w:rsid w:val="00B02C01"/>
    <w:rsid w:val="00B02E45"/>
    <w:rsid w:val="00B0303B"/>
    <w:rsid w:val="00B032DE"/>
    <w:rsid w:val="00B03720"/>
    <w:rsid w:val="00B0434C"/>
    <w:rsid w:val="00B0493D"/>
    <w:rsid w:val="00B04F09"/>
    <w:rsid w:val="00B05302"/>
    <w:rsid w:val="00B053C0"/>
    <w:rsid w:val="00B054E6"/>
    <w:rsid w:val="00B05704"/>
    <w:rsid w:val="00B059A2"/>
    <w:rsid w:val="00B05A2E"/>
    <w:rsid w:val="00B05B32"/>
    <w:rsid w:val="00B05EEC"/>
    <w:rsid w:val="00B065C3"/>
    <w:rsid w:val="00B06A81"/>
    <w:rsid w:val="00B06E0D"/>
    <w:rsid w:val="00B06F1D"/>
    <w:rsid w:val="00B07850"/>
    <w:rsid w:val="00B07B71"/>
    <w:rsid w:val="00B07BBF"/>
    <w:rsid w:val="00B10CA9"/>
    <w:rsid w:val="00B10FAB"/>
    <w:rsid w:val="00B1113B"/>
    <w:rsid w:val="00B11388"/>
    <w:rsid w:val="00B1139B"/>
    <w:rsid w:val="00B11471"/>
    <w:rsid w:val="00B1190E"/>
    <w:rsid w:val="00B11F1D"/>
    <w:rsid w:val="00B1217E"/>
    <w:rsid w:val="00B122C7"/>
    <w:rsid w:val="00B1254C"/>
    <w:rsid w:val="00B12673"/>
    <w:rsid w:val="00B126BF"/>
    <w:rsid w:val="00B12EC1"/>
    <w:rsid w:val="00B130C9"/>
    <w:rsid w:val="00B131F3"/>
    <w:rsid w:val="00B1346A"/>
    <w:rsid w:val="00B1349E"/>
    <w:rsid w:val="00B1394F"/>
    <w:rsid w:val="00B13E33"/>
    <w:rsid w:val="00B13FA8"/>
    <w:rsid w:val="00B140CF"/>
    <w:rsid w:val="00B140E0"/>
    <w:rsid w:val="00B143EF"/>
    <w:rsid w:val="00B14495"/>
    <w:rsid w:val="00B145CC"/>
    <w:rsid w:val="00B14AA2"/>
    <w:rsid w:val="00B14CD7"/>
    <w:rsid w:val="00B1539B"/>
    <w:rsid w:val="00B15540"/>
    <w:rsid w:val="00B157AE"/>
    <w:rsid w:val="00B15C56"/>
    <w:rsid w:val="00B15EA4"/>
    <w:rsid w:val="00B16009"/>
    <w:rsid w:val="00B165DF"/>
    <w:rsid w:val="00B16AA7"/>
    <w:rsid w:val="00B16AB7"/>
    <w:rsid w:val="00B16C97"/>
    <w:rsid w:val="00B16CB0"/>
    <w:rsid w:val="00B16F3D"/>
    <w:rsid w:val="00B17069"/>
    <w:rsid w:val="00B179CA"/>
    <w:rsid w:val="00B17BB0"/>
    <w:rsid w:val="00B17D07"/>
    <w:rsid w:val="00B17D31"/>
    <w:rsid w:val="00B17E13"/>
    <w:rsid w:val="00B2029F"/>
    <w:rsid w:val="00B20663"/>
    <w:rsid w:val="00B20754"/>
    <w:rsid w:val="00B20941"/>
    <w:rsid w:val="00B209CD"/>
    <w:rsid w:val="00B21210"/>
    <w:rsid w:val="00B21331"/>
    <w:rsid w:val="00B215E9"/>
    <w:rsid w:val="00B218B4"/>
    <w:rsid w:val="00B21D28"/>
    <w:rsid w:val="00B22294"/>
    <w:rsid w:val="00B223D4"/>
    <w:rsid w:val="00B224D5"/>
    <w:rsid w:val="00B22A58"/>
    <w:rsid w:val="00B23355"/>
    <w:rsid w:val="00B235BB"/>
    <w:rsid w:val="00B239EB"/>
    <w:rsid w:val="00B23AE0"/>
    <w:rsid w:val="00B23D2D"/>
    <w:rsid w:val="00B23DD9"/>
    <w:rsid w:val="00B240B4"/>
    <w:rsid w:val="00B2478B"/>
    <w:rsid w:val="00B2486A"/>
    <w:rsid w:val="00B2492B"/>
    <w:rsid w:val="00B24B4A"/>
    <w:rsid w:val="00B24DB8"/>
    <w:rsid w:val="00B24E64"/>
    <w:rsid w:val="00B2612A"/>
    <w:rsid w:val="00B270A0"/>
    <w:rsid w:val="00B27229"/>
    <w:rsid w:val="00B27345"/>
    <w:rsid w:val="00B275F7"/>
    <w:rsid w:val="00B27932"/>
    <w:rsid w:val="00B30492"/>
    <w:rsid w:val="00B306E5"/>
    <w:rsid w:val="00B30960"/>
    <w:rsid w:val="00B30A95"/>
    <w:rsid w:val="00B30DF6"/>
    <w:rsid w:val="00B30E5E"/>
    <w:rsid w:val="00B31688"/>
    <w:rsid w:val="00B31C49"/>
    <w:rsid w:val="00B31E8A"/>
    <w:rsid w:val="00B326E2"/>
    <w:rsid w:val="00B3290C"/>
    <w:rsid w:val="00B32D9A"/>
    <w:rsid w:val="00B32F34"/>
    <w:rsid w:val="00B33005"/>
    <w:rsid w:val="00B33075"/>
    <w:rsid w:val="00B33089"/>
    <w:rsid w:val="00B3368B"/>
    <w:rsid w:val="00B341E1"/>
    <w:rsid w:val="00B342AE"/>
    <w:rsid w:val="00B3440B"/>
    <w:rsid w:val="00B3550D"/>
    <w:rsid w:val="00B36075"/>
    <w:rsid w:val="00B3661F"/>
    <w:rsid w:val="00B36E9D"/>
    <w:rsid w:val="00B36FF3"/>
    <w:rsid w:val="00B37406"/>
    <w:rsid w:val="00B374B5"/>
    <w:rsid w:val="00B37603"/>
    <w:rsid w:val="00B376AB"/>
    <w:rsid w:val="00B37B4E"/>
    <w:rsid w:val="00B37E17"/>
    <w:rsid w:val="00B37F36"/>
    <w:rsid w:val="00B37FA4"/>
    <w:rsid w:val="00B4008B"/>
    <w:rsid w:val="00B400BC"/>
    <w:rsid w:val="00B403C9"/>
    <w:rsid w:val="00B40450"/>
    <w:rsid w:val="00B40A76"/>
    <w:rsid w:val="00B40B6E"/>
    <w:rsid w:val="00B40BFE"/>
    <w:rsid w:val="00B40F85"/>
    <w:rsid w:val="00B41034"/>
    <w:rsid w:val="00B41169"/>
    <w:rsid w:val="00B4134A"/>
    <w:rsid w:val="00B41712"/>
    <w:rsid w:val="00B4198A"/>
    <w:rsid w:val="00B427AA"/>
    <w:rsid w:val="00B42AA9"/>
    <w:rsid w:val="00B42D52"/>
    <w:rsid w:val="00B42EBB"/>
    <w:rsid w:val="00B42F35"/>
    <w:rsid w:val="00B43036"/>
    <w:rsid w:val="00B4323F"/>
    <w:rsid w:val="00B43340"/>
    <w:rsid w:val="00B43520"/>
    <w:rsid w:val="00B43635"/>
    <w:rsid w:val="00B43905"/>
    <w:rsid w:val="00B43C43"/>
    <w:rsid w:val="00B43C98"/>
    <w:rsid w:val="00B44062"/>
    <w:rsid w:val="00B441A4"/>
    <w:rsid w:val="00B447F6"/>
    <w:rsid w:val="00B4545A"/>
    <w:rsid w:val="00B457F8"/>
    <w:rsid w:val="00B458B4"/>
    <w:rsid w:val="00B45B91"/>
    <w:rsid w:val="00B45E1B"/>
    <w:rsid w:val="00B4607B"/>
    <w:rsid w:val="00B46248"/>
    <w:rsid w:val="00B463A7"/>
    <w:rsid w:val="00B463CF"/>
    <w:rsid w:val="00B46EF3"/>
    <w:rsid w:val="00B471DC"/>
    <w:rsid w:val="00B472CD"/>
    <w:rsid w:val="00B474D2"/>
    <w:rsid w:val="00B47958"/>
    <w:rsid w:val="00B47B40"/>
    <w:rsid w:val="00B47D77"/>
    <w:rsid w:val="00B47DED"/>
    <w:rsid w:val="00B502C4"/>
    <w:rsid w:val="00B50B69"/>
    <w:rsid w:val="00B50BCA"/>
    <w:rsid w:val="00B50E83"/>
    <w:rsid w:val="00B51391"/>
    <w:rsid w:val="00B513C8"/>
    <w:rsid w:val="00B51505"/>
    <w:rsid w:val="00B51510"/>
    <w:rsid w:val="00B51B08"/>
    <w:rsid w:val="00B51C9A"/>
    <w:rsid w:val="00B51DA1"/>
    <w:rsid w:val="00B51DB7"/>
    <w:rsid w:val="00B5225D"/>
    <w:rsid w:val="00B524EC"/>
    <w:rsid w:val="00B52551"/>
    <w:rsid w:val="00B52ED9"/>
    <w:rsid w:val="00B531B6"/>
    <w:rsid w:val="00B53D1A"/>
    <w:rsid w:val="00B53D36"/>
    <w:rsid w:val="00B53F2F"/>
    <w:rsid w:val="00B54412"/>
    <w:rsid w:val="00B5507C"/>
    <w:rsid w:val="00B55840"/>
    <w:rsid w:val="00B55D85"/>
    <w:rsid w:val="00B56975"/>
    <w:rsid w:val="00B56E9F"/>
    <w:rsid w:val="00B570A3"/>
    <w:rsid w:val="00B57305"/>
    <w:rsid w:val="00B575BE"/>
    <w:rsid w:val="00B57B22"/>
    <w:rsid w:val="00B57B64"/>
    <w:rsid w:val="00B6015C"/>
    <w:rsid w:val="00B6041E"/>
    <w:rsid w:val="00B60514"/>
    <w:rsid w:val="00B609FC"/>
    <w:rsid w:val="00B60B2C"/>
    <w:rsid w:val="00B60B4A"/>
    <w:rsid w:val="00B6189D"/>
    <w:rsid w:val="00B61C93"/>
    <w:rsid w:val="00B61DFA"/>
    <w:rsid w:val="00B61E8A"/>
    <w:rsid w:val="00B620E0"/>
    <w:rsid w:val="00B621B6"/>
    <w:rsid w:val="00B626A2"/>
    <w:rsid w:val="00B62ADA"/>
    <w:rsid w:val="00B62C74"/>
    <w:rsid w:val="00B63032"/>
    <w:rsid w:val="00B6310E"/>
    <w:rsid w:val="00B63276"/>
    <w:rsid w:val="00B63FBD"/>
    <w:rsid w:val="00B64A6F"/>
    <w:rsid w:val="00B64A8C"/>
    <w:rsid w:val="00B64BD2"/>
    <w:rsid w:val="00B64CB1"/>
    <w:rsid w:val="00B64FD9"/>
    <w:rsid w:val="00B65062"/>
    <w:rsid w:val="00B651B2"/>
    <w:rsid w:val="00B65B5B"/>
    <w:rsid w:val="00B65D5A"/>
    <w:rsid w:val="00B66332"/>
    <w:rsid w:val="00B665FE"/>
    <w:rsid w:val="00B66809"/>
    <w:rsid w:val="00B67C52"/>
    <w:rsid w:val="00B67C8F"/>
    <w:rsid w:val="00B67F06"/>
    <w:rsid w:val="00B7017D"/>
    <w:rsid w:val="00B701AC"/>
    <w:rsid w:val="00B701B7"/>
    <w:rsid w:val="00B70324"/>
    <w:rsid w:val="00B70856"/>
    <w:rsid w:val="00B70881"/>
    <w:rsid w:val="00B70BB2"/>
    <w:rsid w:val="00B70E34"/>
    <w:rsid w:val="00B70EB8"/>
    <w:rsid w:val="00B70EDB"/>
    <w:rsid w:val="00B71743"/>
    <w:rsid w:val="00B71875"/>
    <w:rsid w:val="00B71EC4"/>
    <w:rsid w:val="00B7208B"/>
    <w:rsid w:val="00B72349"/>
    <w:rsid w:val="00B728CA"/>
    <w:rsid w:val="00B729FD"/>
    <w:rsid w:val="00B72FF9"/>
    <w:rsid w:val="00B73ADF"/>
    <w:rsid w:val="00B73E47"/>
    <w:rsid w:val="00B7440E"/>
    <w:rsid w:val="00B74437"/>
    <w:rsid w:val="00B7465A"/>
    <w:rsid w:val="00B74A0A"/>
    <w:rsid w:val="00B74AF7"/>
    <w:rsid w:val="00B74DBF"/>
    <w:rsid w:val="00B75269"/>
    <w:rsid w:val="00B753DA"/>
    <w:rsid w:val="00B754CF"/>
    <w:rsid w:val="00B757B5"/>
    <w:rsid w:val="00B75993"/>
    <w:rsid w:val="00B75E69"/>
    <w:rsid w:val="00B7618D"/>
    <w:rsid w:val="00B76713"/>
    <w:rsid w:val="00B76753"/>
    <w:rsid w:val="00B768A5"/>
    <w:rsid w:val="00B76B26"/>
    <w:rsid w:val="00B76D3C"/>
    <w:rsid w:val="00B76FC2"/>
    <w:rsid w:val="00B77192"/>
    <w:rsid w:val="00B775BE"/>
    <w:rsid w:val="00B77652"/>
    <w:rsid w:val="00B77929"/>
    <w:rsid w:val="00B77AE7"/>
    <w:rsid w:val="00B77B1D"/>
    <w:rsid w:val="00B77BD5"/>
    <w:rsid w:val="00B77ED2"/>
    <w:rsid w:val="00B801E4"/>
    <w:rsid w:val="00B802F9"/>
    <w:rsid w:val="00B8093F"/>
    <w:rsid w:val="00B81081"/>
    <w:rsid w:val="00B81435"/>
    <w:rsid w:val="00B814B3"/>
    <w:rsid w:val="00B81626"/>
    <w:rsid w:val="00B81987"/>
    <w:rsid w:val="00B81F55"/>
    <w:rsid w:val="00B8226C"/>
    <w:rsid w:val="00B82498"/>
    <w:rsid w:val="00B82508"/>
    <w:rsid w:val="00B82509"/>
    <w:rsid w:val="00B826A1"/>
    <w:rsid w:val="00B82969"/>
    <w:rsid w:val="00B82BA6"/>
    <w:rsid w:val="00B833FB"/>
    <w:rsid w:val="00B8364B"/>
    <w:rsid w:val="00B83A05"/>
    <w:rsid w:val="00B83D07"/>
    <w:rsid w:val="00B8412C"/>
    <w:rsid w:val="00B843F3"/>
    <w:rsid w:val="00B8471C"/>
    <w:rsid w:val="00B84762"/>
    <w:rsid w:val="00B84827"/>
    <w:rsid w:val="00B850BE"/>
    <w:rsid w:val="00B8528A"/>
    <w:rsid w:val="00B85349"/>
    <w:rsid w:val="00B85726"/>
    <w:rsid w:val="00B858EA"/>
    <w:rsid w:val="00B8594A"/>
    <w:rsid w:val="00B8597E"/>
    <w:rsid w:val="00B86008"/>
    <w:rsid w:val="00B860CA"/>
    <w:rsid w:val="00B86793"/>
    <w:rsid w:val="00B867F5"/>
    <w:rsid w:val="00B8681C"/>
    <w:rsid w:val="00B86B91"/>
    <w:rsid w:val="00B86E08"/>
    <w:rsid w:val="00B86F67"/>
    <w:rsid w:val="00B87049"/>
    <w:rsid w:val="00B870EA"/>
    <w:rsid w:val="00B8757F"/>
    <w:rsid w:val="00B87FC2"/>
    <w:rsid w:val="00B87FE0"/>
    <w:rsid w:val="00B900D2"/>
    <w:rsid w:val="00B90323"/>
    <w:rsid w:val="00B904FF"/>
    <w:rsid w:val="00B90554"/>
    <w:rsid w:val="00B90DD5"/>
    <w:rsid w:val="00B90EB4"/>
    <w:rsid w:val="00B91104"/>
    <w:rsid w:val="00B9155A"/>
    <w:rsid w:val="00B9185A"/>
    <w:rsid w:val="00B91C26"/>
    <w:rsid w:val="00B91E51"/>
    <w:rsid w:val="00B91EB6"/>
    <w:rsid w:val="00B921E1"/>
    <w:rsid w:val="00B923FC"/>
    <w:rsid w:val="00B9250F"/>
    <w:rsid w:val="00B92BA4"/>
    <w:rsid w:val="00B92F62"/>
    <w:rsid w:val="00B942F6"/>
    <w:rsid w:val="00B94413"/>
    <w:rsid w:val="00B9457B"/>
    <w:rsid w:val="00B94CD0"/>
    <w:rsid w:val="00B94D98"/>
    <w:rsid w:val="00B950B1"/>
    <w:rsid w:val="00B951C8"/>
    <w:rsid w:val="00B956D1"/>
    <w:rsid w:val="00B95931"/>
    <w:rsid w:val="00B95E79"/>
    <w:rsid w:val="00B96219"/>
    <w:rsid w:val="00B962C5"/>
    <w:rsid w:val="00B96C52"/>
    <w:rsid w:val="00B96FD4"/>
    <w:rsid w:val="00B972A0"/>
    <w:rsid w:val="00B97308"/>
    <w:rsid w:val="00B975CE"/>
    <w:rsid w:val="00B9769A"/>
    <w:rsid w:val="00B9786B"/>
    <w:rsid w:val="00B97AE8"/>
    <w:rsid w:val="00B97EA5"/>
    <w:rsid w:val="00BA0349"/>
    <w:rsid w:val="00BA0501"/>
    <w:rsid w:val="00BA0A9A"/>
    <w:rsid w:val="00BA0E3C"/>
    <w:rsid w:val="00BA0F44"/>
    <w:rsid w:val="00BA13FE"/>
    <w:rsid w:val="00BA1558"/>
    <w:rsid w:val="00BA15CD"/>
    <w:rsid w:val="00BA212D"/>
    <w:rsid w:val="00BA2137"/>
    <w:rsid w:val="00BA2552"/>
    <w:rsid w:val="00BA26C7"/>
    <w:rsid w:val="00BA27BE"/>
    <w:rsid w:val="00BA2A3B"/>
    <w:rsid w:val="00BA2AD4"/>
    <w:rsid w:val="00BA2AEE"/>
    <w:rsid w:val="00BA2B3A"/>
    <w:rsid w:val="00BA3054"/>
    <w:rsid w:val="00BA3854"/>
    <w:rsid w:val="00BA3A7F"/>
    <w:rsid w:val="00BA3D8D"/>
    <w:rsid w:val="00BA4653"/>
    <w:rsid w:val="00BA4B3D"/>
    <w:rsid w:val="00BA4BEF"/>
    <w:rsid w:val="00BA51EC"/>
    <w:rsid w:val="00BA534A"/>
    <w:rsid w:val="00BA57C0"/>
    <w:rsid w:val="00BA58F7"/>
    <w:rsid w:val="00BA5CF8"/>
    <w:rsid w:val="00BA5E26"/>
    <w:rsid w:val="00BA5FA0"/>
    <w:rsid w:val="00BA606E"/>
    <w:rsid w:val="00BA672B"/>
    <w:rsid w:val="00BA68B3"/>
    <w:rsid w:val="00BA6A19"/>
    <w:rsid w:val="00BA6A7D"/>
    <w:rsid w:val="00BA6B3A"/>
    <w:rsid w:val="00BA6BF5"/>
    <w:rsid w:val="00BA75EF"/>
    <w:rsid w:val="00BA75FA"/>
    <w:rsid w:val="00BA79B0"/>
    <w:rsid w:val="00BA7A75"/>
    <w:rsid w:val="00BA7DEF"/>
    <w:rsid w:val="00BA7E46"/>
    <w:rsid w:val="00BA7F50"/>
    <w:rsid w:val="00BB055E"/>
    <w:rsid w:val="00BB06EC"/>
    <w:rsid w:val="00BB09AD"/>
    <w:rsid w:val="00BB0CC4"/>
    <w:rsid w:val="00BB1137"/>
    <w:rsid w:val="00BB1255"/>
    <w:rsid w:val="00BB14A5"/>
    <w:rsid w:val="00BB15CB"/>
    <w:rsid w:val="00BB1CE6"/>
    <w:rsid w:val="00BB1D6F"/>
    <w:rsid w:val="00BB31B5"/>
    <w:rsid w:val="00BB3266"/>
    <w:rsid w:val="00BB3398"/>
    <w:rsid w:val="00BB34D9"/>
    <w:rsid w:val="00BB364D"/>
    <w:rsid w:val="00BB3897"/>
    <w:rsid w:val="00BB404E"/>
    <w:rsid w:val="00BB40D2"/>
    <w:rsid w:val="00BB43C7"/>
    <w:rsid w:val="00BB46E2"/>
    <w:rsid w:val="00BB4C63"/>
    <w:rsid w:val="00BB4EFB"/>
    <w:rsid w:val="00BB4F1C"/>
    <w:rsid w:val="00BB5B01"/>
    <w:rsid w:val="00BB5E49"/>
    <w:rsid w:val="00BB5F59"/>
    <w:rsid w:val="00BB6406"/>
    <w:rsid w:val="00BB6523"/>
    <w:rsid w:val="00BB665F"/>
    <w:rsid w:val="00BB7103"/>
    <w:rsid w:val="00BB7501"/>
    <w:rsid w:val="00BB75BA"/>
    <w:rsid w:val="00BB762F"/>
    <w:rsid w:val="00BB7A94"/>
    <w:rsid w:val="00BB7B67"/>
    <w:rsid w:val="00BC0480"/>
    <w:rsid w:val="00BC060F"/>
    <w:rsid w:val="00BC0A52"/>
    <w:rsid w:val="00BC0B98"/>
    <w:rsid w:val="00BC0C30"/>
    <w:rsid w:val="00BC0DA1"/>
    <w:rsid w:val="00BC1848"/>
    <w:rsid w:val="00BC1AD2"/>
    <w:rsid w:val="00BC1FCF"/>
    <w:rsid w:val="00BC2CCF"/>
    <w:rsid w:val="00BC2D22"/>
    <w:rsid w:val="00BC3075"/>
    <w:rsid w:val="00BC3478"/>
    <w:rsid w:val="00BC34D4"/>
    <w:rsid w:val="00BC3A49"/>
    <w:rsid w:val="00BC3DA5"/>
    <w:rsid w:val="00BC3F87"/>
    <w:rsid w:val="00BC4420"/>
    <w:rsid w:val="00BC4618"/>
    <w:rsid w:val="00BC47ED"/>
    <w:rsid w:val="00BC49ED"/>
    <w:rsid w:val="00BC4AE9"/>
    <w:rsid w:val="00BC4B44"/>
    <w:rsid w:val="00BC4C01"/>
    <w:rsid w:val="00BC5091"/>
    <w:rsid w:val="00BC50EC"/>
    <w:rsid w:val="00BC52FD"/>
    <w:rsid w:val="00BC5938"/>
    <w:rsid w:val="00BC5943"/>
    <w:rsid w:val="00BC5D0F"/>
    <w:rsid w:val="00BC6357"/>
    <w:rsid w:val="00BC647E"/>
    <w:rsid w:val="00BC64F9"/>
    <w:rsid w:val="00BC6767"/>
    <w:rsid w:val="00BC6B9E"/>
    <w:rsid w:val="00BC6C70"/>
    <w:rsid w:val="00BC7182"/>
    <w:rsid w:val="00BC72B9"/>
    <w:rsid w:val="00BC77D7"/>
    <w:rsid w:val="00BC78C8"/>
    <w:rsid w:val="00BC7A24"/>
    <w:rsid w:val="00BC7CF0"/>
    <w:rsid w:val="00BD0024"/>
    <w:rsid w:val="00BD0245"/>
    <w:rsid w:val="00BD0A8A"/>
    <w:rsid w:val="00BD0C34"/>
    <w:rsid w:val="00BD1A19"/>
    <w:rsid w:val="00BD1BB5"/>
    <w:rsid w:val="00BD2043"/>
    <w:rsid w:val="00BD2A92"/>
    <w:rsid w:val="00BD303B"/>
    <w:rsid w:val="00BD3058"/>
    <w:rsid w:val="00BD320A"/>
    <w:rsid w:val="00BD3237"/>
    <w:rsid w:val="00BD34A2"/>
    <w:rsid w:val="00BD34A4"/>
    <w:rsid w:val="00BD34E6"/>
    <w:rsid w:val="00BD3581"/>
    <w:rsid w:val="00BD3643"/>
    <w:rsid w:val="00BD3A8C"/>
    <w:rsid w:val="00BD3CED"/>
    <w:rsid w:val="00BD3DDD"/>
    <w:rsid w:val="00BD4029"/>
    <w:rsid w:val="00BD40B5"/>
    <w:rsid w:val="00BD4424"/>
    <w:rsid w:val="00BD4524"/>
    <w:rsid w:val="00BD47C3"/>
    <w:rsid w:val="00BD4855"/>
    <w:rsid w:val="00BD4AA5"/>
    <w:rsid w:val="00BD4C29"/>
    <w:rsid w:val="00BD5094"/>
    <w:rsid w:val="00BD5149"/>
    <w:rsid w:val="00BD5384"/>
    <w:rsid w:val="00BD5418"/>
    <w:rsid w:val="00BD5623"/>
    <w:rsid w:val="00BD5763"/>
    <w:rsid w:val="00BD5AD8"/>
    <w:rsid w:val="00BD611E"/>
    <w:rsid w:val="00BD6317"/>
    <w:rsid w:val="00BD64E7"/>
    <w:rsid w:val="00BD65CB"/>
    <w:rsid w:val="00BD6A41"/>
    <w:rsid w:val="00BD700D"/>
    <w:rsid w:val="00BD7469"/>
    <w:rsid w:val="00BD763E"/>
    <w:rsid w:val="00BD7841"/>
    <w:rsid w:val="00BD78CA"/>
    <w:rsid w:val="00BD7EA7"/>
    <w:rsid w:val="00BE093A"/>
    <w:rsid w:val="00BE0C2B"/>
    <w:rsid w:val="00BE0C44"/>
    <w:rsid w:val="00BE0FC9"/>
    <w:rsid w:val="00BE16D8"/>
    <w:rsid w:val="00BE1740"/>
    <w:rsid w:val="00BE1972"/>
    <w:rsid w:val="00BE1DB5"/>
    <w:rsid w:val="00BE24CA"/>
    <w:rsid w:val="00BE25D6"/>
    <w:rsid w:val="00BE2A61"/>
    <w:rsid w:val="00BE2CFD"/>
    <w:rsid w:val="00BE3050"/>
    <w:rsid w:val="00BE35A5"/>
    <w:rsid w:val="00BE3817"/>
    <w:rsid w:val="00BE384E"/>
    <w:rsid w:val="00BE43F9"/>
    <w:rsid w:val="00BE4567"/>
    <w:rsid w:val="00BE4994"/>
    <w:rsid w:val="00BE4A92"/>
    <w:rsid w:val="00BE4BB0"/>
    <w:rsid w:val="00BE52B1"/>
    <w:rsid w:val="00BE532E"/>
    <w:rsid w:val="00BE53BD"/>
    <w:rsid w:val="00BE54D9"/>
    <w:rsid w:val="00BE5AFC"/>
    <w:rsid w:val="00BE6D63"/>
    <w:rsid w:val="00BE6E99"/>
    <w:rsid w:val="00BE7013"/>
    <w:rsid w:val="00BE7418"/>
    <w:rsid w:val="00BE743F"/>
    <w:rsid w:val="00BE7A2B"/>
    <w:rsid w:val="00BE7A71"/>
    <w:rsid w:val="00BE7BA3"/>
    <w:rsid w:val="00BE7CA3"/>
    <w:rsid w:val="00BE7F7D"/>
    <w:rsid w:val="00BF0962"/>
    <w:rsid w:val="00BF13E4"/>
    <w:rsid w:val="00BF15B8"/>
    <w:rsid w:val="00BF1691"/>
    <w:rsid w:val="00BF1C5E"/>
    <w:rsid w:val="00BF1D71"/>
    <w:rsid w:val="00BF21F3"/>
    <w:rsid w:val="00BF27FE"/>
    <w:rsid w:val="00BF2A2C"/>
    <w:rsid w:val="00BF2C93"/>
    <w:rsid w:val="00BF3071"/>
    <w:rsid w:val="00BF30BD"/>
    <w:rsid w:val="00BF3413"/>
    <w:rsid w:val="00BF343F"/>
    <w:rsid w:val="00BF394E"/>
    <w:rsid w:val="00BF3980"/>
    <w:rsid w:val="00BF3EA7"/>
    <w:rsid w:val="00BF4207"/>
    <w:rsid w:val="00BF433A"/>
    <w:rsid w:val="00BF4B4A"/>
    <w:rsid w:val="00BF4BC4"/>
    <w:rsid w:val="00BF5433"/>
    <w:rsid w:val="00BF567A"/>
    <w:rsid w:val="00BF626D"/>
    <w:rsid w:val="00BF6287"/>
    <w:rsid w:val="00BF66E1"/>
    <w:rsid w:val="00BF69E3"/>
    <w:rsid w:val="00BF6AD4"/>
    <w:rsid w:val="00BF6F26"/>
    <w:rsid w:val="00BF75E1"/>
    <w:rsid w:val="00BF7BBA"/>
    <w:rsid w:val="00BF7D1A"/>
    <w:rsid w:val="00BF7E29"/>
    <w:rsid w:val="00C0044B"/>
    <w:rsid w:val="00C00486"/>
    <w:rsid w:val="00C00763"/>
    <w:rsid w:val="00C007EA"/>
    <w:rsid w:val="00C00C7B"/>
    <w:rsid w:val="00C00CA9"/>
    <w:rsid w:val="00C00CE7"/>
    <w:rsid w:val="00C01079"/>
    <w:rsid w:val="00C010DD"/>
    <w:rsid w:val="00C01AC7"/>
    <w:rsid w:val="00C01E1F"/>
    <w:rsid w:val="00C01EBD"/>
    <w:rsid w:val="00C02529"/>
    <w:rsid w:val="00C02991"/>
    <w:rsid w:val="00C02B2D"/>
    <w:rsid w:val="00C02BFC"/>
    <w:rsid w:val="00C03417"/>
    <w:rsid w:val="00C03950"/>
    <w:rsid w:val="00C03A9D"/>
    <w:rsid w:val="00C03BB8"/>
    <w:rsid w:val="00C03D74"/>
    <w:rsid w:val="00C040FC"/>
    <w:rsid w:val="00C04296"/>
    <w:rsid w:val="00C043BE"/>
    <w:rsid w:val="00C04425"/>
    <w:rsid w:val="00C04A99"/>
    <w:rsid w:val="00C04BD4"/>
    <w:rsid w:val="00C05013"/>
    <w:rsid w:val="00C051CB"/>
    <w:rsid w:val="00C051D0"/>
    <w:rsid w:val="00C056A1"/>
    <w:rsid w:val="00C05966"/>
    <w:rsid w:val="00C059B9"/>
    <w:rsid w:val="00C05AA1"/>
    <w:rsid w:val="00C05ABA"/>
    <w:rsid w:val="00C05D37"/>
    <w:rsid w:val="00C05E21"/>
    <w:rsid w:val="00C05FF8"/>
    <w:rsid w:val="00C0634D"/>
    <w:rsid w:val="00C063F3"/>
    <w:rsid w:val="00C06572"/>
    <w:rsid w:val="00C0685D"/>
    <w:rsid w:val="00C06948"/>
    <w:rsid w:val="00C06B64"/>
    <w:rsid w:val="00C07580"/>
    <w:rsid w:val="00C07675"/>
    <w:rsid w:val="00C07776"/>
    <w:rsid w:val="00C07BE9"/>
    <w:rsid w:val="00C10003"/>
    <w:rsid w:val="00C10535"/>
    <w:rsid w:val="00C10715"/>
    <w:rsid w:val="00C11343"/>
    <w:rsid w:val="00C11DF6"/>
    <w:rsid w:val="00C11FEF"/>
    <w:rsid w:val="00C12249"/>
    <w:rsid w:val="00C123B6"/>
    <w:rsid w:val="00C12614"/>
    <w:rsid w:val="00C13179"/>
    <w:rsid w:val="00C13209"/>
    <w:rsid w:val="00C133D6"/>
    <w:rsid w:val="00C136CB"/>
    <w:rsid w:val="00C13842"/>
    <w:rsid w:val="00C1397C"/>
    <w:rsid w:val="00C13C66"/>
    <w:rsid w:val="00C14276"/>
    <w:rsid w:val="00C14311"/>
    <w:rsid w:val="00C143E5"/>
    <w:rsid w:val="00C14526"/>
    <w:rsid w:val="00C1586B"/>
    <w:rsid w:val="00C159CB"/>
    <w:rsid w:val="00C15ABA"/>
    <w:rsid w:val="00C167FE"/>
    <w:rsid w:val="00C16C68"/>
    <w:rsid w:val="00C16D35"/>
    <w:rsid w:val="00C16F31"/>
    <w:rsid w:val="00C16FF4"/>
    <w:rsid w:val="00C17031"/>
    <w:rsid w:val="00C1784E"/>
    <w:rsid w:val="00C17975"/>
    <w:rsid w:val="00C17B4E"/>
    <w:rsid w:val="00C20942"/>
    <w:rsid w:val="00C20E6F"/>
    <w:rsid w:val="00C20E73"/>
    <w:rsid w:val="00C214FF"/>
    <w:rsid w:val="00C21812"/>
    <w:rsid w:val="00C21844"/>
    <w:rsid w:val="00C21CA8"/>
    <w:rsid w:val="00C21E97"/>
    <w:rsid w:val="00C21F5B"/>
    <w:rsid w:val="00C2209B"/>
    <w:rsid w:val="00C225EE"/>
    <w:rsid w:val="00C22DBD"/>
    <w:rsid w:val="00C23B7A"/>
    <w:rsid w:val="00C23D23"/>
    <w:rsid w:val="00C23D7E"/>
    <w:rsid w:val="00C24479"/>
    <w:rsid w:val="00C244C5"/>
    <w:rsid w:val="00C2455F"/>
    <w:rsid w:val="00C24573"/>
    <w:rsid w:val="00C249A9"/>
    <w:rsid w:val="00C24ADF"/>
    <w:rsid w:val="00C24FE6"/>
    <w:rsid w:val="00C2538A"/>
    <w:rsid w:val="00C25566"/>
    <w:rsid w:val="00C25C03"/>
    <w:rsid w:val="00C25E22"/>
    <w:rsid w:val="00C2613E"/>
    <w:rsid w:val="00C26299"/>
    <w:rsid w:val="00C264BA"/>
    <w:rsid w:val="00C266E8"/>
    <w:rsid w:val="00C26AFC"/>
    <w:rsid w:val="00C26C71"/>
    <w:rsid w:val="00C26F1E"/>
    <w:rsid w:val="00C270E5"/>
    <w:rsid w:val="00C2736D"/>
    <w:rsid w:val="00C27564"/>
    <w:rsid w:val="00C2782D"/>
    <w:rsid w:val="00C27944"/>
    <w:rsid w:val="00C27A73"/>
    <w:rsid w:val="00C27E7B"/>
    <w:rsid w:val="00C27EA9"/>
    <w:rsid w:val="00C30212"/>
    <w:rsid w:val="00C30354"/>
    <w:rsid w:val="00C307FA"/>
    <w:rsid w:val="00C31158"/>
    <w:rsid w:val="00C31C4C"/>
    <w:rsid w:val="00C31C8A"/>
    <w:rsid w:val="00C31EBF"/>
    <w:rsid w:val="00C320FC"/>
    <w:rsid w:val="00C32411"/>
    <w:rsid w:val="00C325BB"/>
    <w:rsid w:val="00C32897"/>
    <w:rsid w:val="00C33336"/>
    <w:rsid w:val="00C3339E"/>
    <w:rsid w:val="00C3342B"/>
    <w:rsid w:val="00C33488"/>
    <w:rsid w:val="00C33665"/>
    <w:rsid w:val="00C337D1"/>
    <w:rsid w:val="00C33933"/>
    <w:rsid w:val="00C33BAA"/>
    <w:rsid w:val="00C3447A"/>
    <w:rsid w:val="00C344D5"/>
    <w:rsid w:val="00C349D1"/>
    <w:rsid w:val="00C34A2A"/>
    <w:rsid w:val="00C34D4A"/>
    <w:rsid w:val="00C34DB5"/>
    <w:rsid w:val="00C34E2B"/>
    <w:rsid w:val="00C35421"/>
    <w:rsid w:val="00C3557E"/>
    <w:rsid w:val="00C3581B"/>
    <w:rsid w:val="00C35862"/>
    <w:rsid w:val="00C35B76"/>
    <w:rsid w:val="00C35DE7"/>
    <w:rsid w:val="00C35E64"/>
    <w:rsid w:val="00C362A6"/>
    <w:rsid w:val="00C36C05"/>
    <w:rsid w:val="00C36D34"/>
    <w:rsid w:val="00C36D71"/>
    <w:rsid w:val="00C36DF8"/>
    <w:rsid w:val="00C372D7"/>
    <w:rsid w:val="00C37524"/>
    <w:rsid w:val="00C37978"/>
    <w:rsid w:val="00C37BFE"/>
    <w:rsid w:val="00C37F65"/>
    <w:rsid w:val="00C40224"/>
    <w:rsid w:val="00C4032B"/>
    <w:rsid w:val="00C408FE"/>
    <w:rsid w:val="00C4099A"/>
    <w:rsid w:val="00C409E0"/>
    <w:rsid w:val="00C40AE9"/>
    <w:rsid w:val="00C40B86"/>
    <w:rsid w:val="00C40CCC"/>
    <w:rsid w:val="00C40D89"/>
    <w:rsid w:val="00C40F91"/>
    <w:rsid w:val="00C40FB9"/>
    <w:rsid w:val="00C412DD"/>
    <w:rsid w:val="00C41646"/>
    <w:rsid w:val="00C4181A"/>
    <w:rsid w:val="00C41CCD"/>
    <w:rsid w:val="00C41DFC"/>
    <w:rsid w:val="00C423DA"/>
    <w:rsid w:val="00C425B3"/>
    <w:rsid w:val="00C42B9D"/>
    <w:rsid w:val="00C42CFC"/>
    <w:rsid w:val="00C42DEC"/>
    <w:rsid w:val="00C42F84"/>
    <w:rsid w:val="00C430DF"/>
    <w:rsid w:val="00C432D7"/>
    <w:rsid w:val="00C43C11"/>
    <w:rsid w:val="00C43FB9"/>
    <w:rsid w:val="00C4413A"/>
    <w:rsid w:val="00C44ACC"/>
    <w:rsid w:val="00C44D41"/>
    <w:rsid w:val="00C45134"/>
    <w:rsid w:val="00C4516B"/>
    <w:rsid w:val="00C4548E"/>
    <w:rsid w:val="00C454D5"/>
    <w:rsid w:val="00C4554B"/>
    <w:rsid w:val="00C45847"/>
    <w:rsid w:val="00C45DED"/>
    <w:rsid w:val="00C45F80"/>
    <w:rsid w:val="00C463A7"/>
    <w:rsid w:val="00C46472"/>
    <w:rsid w:val="00C46483"/>
    <w:rsid w:val="00C46A27"/>
    <w:rsid w:val="00C471F9"/>
    <w:rsid w:val="00C47555"/>
    <w:rsid w:val="00C478F9"/>
    <w:rsid w:val="00C47A0C"/>
    <w:rsid w:val="00C47B11"/>
    <w:rsid w:val="00C47B56"/>
    <w:rsid w:val="00C47EED"/>
    <w:rsid w:val="00C50177"/>
    <w:rsid w:val="00C50330"/>
    <w:rsid w:val="00C50E3A"/>
    <w:rsid w:val="00C51132"/>
    <w:rsid w:val="00C51162"/>
    <w:rsid w:val="00C513F4"/>
    <w:rsid w:val="00C51B64"/>
    <w:rsid w:val="00C51D7D"/>
    <w:rsid w:val="00C520A0"/>
    <w:rsid w:val="00C520D9"/>
    <w:rsid w:val="00C5238E"/>
    <w:rsid w:val="00C5253E"/>
    <w:rsid w:val="00C52B95"/>
    <w:rsid w:val="00C52D08"/>
    <w:rsid w:val="00C52D13"/>
    <w:rsid w:val="00C5310E"/>
    <w:rsid w:val="00C531BE"/>
    <w:rsid w:val="00C533BC"/>
    <w:rsid w:val="00C534B2"/>
    <w:rsid w:val="00C5374B"/>
    <w:rsid w:val="00C53BAD"/>
    <w:rsid w:val="00C53D79"/>
    <w:rsid w:val="00C53EEA"/>
    <w:rsid w:val="00C53EF0"/>
    <w:rsid w:val="00C5404A"/>
    <w:rsid w:val="00C542C6"/>
    <w:rsid w:val="00C543A3"/>
    <w:rsid w:val="00C54820"/>
    <w:rsid w:val="00C5587F"/>
    <w:rsid w:val="00C55918"/>
    <w:rsid w:val="00C55AFE"/>
    <w:rsid w:val="00C55FD0"/>
    <w:rsid w:val="00C562E0"/>
    <w:rsid w:val="00C566E7"/>
    <w:rsid w:val="00C567FE"/>
    <w:rsid w:val="00C56909"/>
    <w:rsid w:val="00C5694E"/>
    <w:rsid w:val="00C57166"/>
    <w:rsid w:val="00C574CC"/>
    <w:rsid w:val="00C57755"/>
    <w:rsid w:val="00C57BB3"/>
    <w:rsid w:val="00C57C83"/>
    <w:rsid w:val="00C6039E"/>
    <w:rsid w:val="00C60488"/>
    <w:rsid w:val="00C60656"/>
    <w:rsid w:val="00C60694"/>
    <w:rsid w:val="00C60989"/>
    <w:rsid w:val="00C60B22"/>
    <w:rsid w:val="00C60B38"/>
    <w:rsid w:val="00C60CA8"/>
    <w:rsid w:val="00C60D9D"/>
    <w:rsid w:val="00C60E62"/>
    <w:rsid w:val="00C610E9"/>
    <w:rsid w:val="00C6117D"/>
    <w:rsid w:val="00C6129C"/>
    <w:rsid w:val="00C61914"/>
    <w:rsid w:val="00C61B79"/>
    <w:rsid w:val="00C61FDD"/>
    <w:rsid w:val="00C62546"/>
    <w:rsid w:val="00C62548"/>
    <w:rsid w:val="00C6298E"/>
    <w:rsid w:val="00C62C96"/>
    <w:rsid w:val="00C62CF7"/>
    <w:rsid w:val="00C63005"/>
    <w:rsid w:val="00C631F1"/>
    <w:rsid w:val="00C632B9"/>
    <w:rsid w:val="00C6376C"/>
    <w:rsid w:val="00C63BB3"/>
    <w:rsid w:val="00C64455"/>
    <w:rsid w:val="00C64B25"/>
    <w:rsid w:val="00C64D20"/>
    <w:rsid w:val="00C6524E"/>
    <w:rsid w:val="00C6534F"/>
    <w:rsid w:val="00C65CCE"/>
    <w:rsid w:val="00C65D66"/>
    <w:rsid w:val="00C661AF"/>
    <w:rsid w:val="00C66220"/>
    <w:rsid w:val="00C663F8"/>
    <w:rsid w:val="00C66907"/>
    <w:rsid w:val="00C66A90"/>
    <w:rsid w:val="00C66B91"/>
    <w:rsid w:val="00C66C60"/>
    <w:rsid w:val="00C67887"/>
    <w:rsid w:val="00C67B03"/>
    <w:rsid w:val="00C67C3E"/>
    <w:rsid w:val="00C67FD1"/>
    <w:rsid w:val="00C70051"/>
    <w:rsid w:val="00C700D8"/>
    <w:rsid w:val="00C701BB"/>
    <w:rsid w:val="00C703A0"/>
    <w:rsid w:val="00C70489"/>
    <w:rsid w:val="00C707F2"/>
    <w:rsid w:val="00C7085C"/>
    <w:rsid w:val="00C70896"/>
    <w:rsid w:val="00C70FBB"/>
    <w:rsid w:val="00C7109D"/>
    <w:rsid w:val="00C71215"/>
    <w:rsid w:val="00C7129B"/>
    <w:rsid w:val="00C714F5"/>
    <w:rsid w:val="00C7171C"/>
    <w:rsid w:val="00C7191B"/>
    <w:rsid w:val="00C7195A"/>
    <w:rsid w:val="00C71A1E"/>
    <w:rsid w:val="00C71A7F"/>
    <w:rsid w:val="00C71BD9"/>
    <w:rsid w:val="00C722F5"/>
    <w:rsid w:val="00C72A3F"/>
    <w:rsid w:val="00C73096"/>
    <w:rsid w:val="00C736A1"/>
    <w:rsid w:val="00C73A9D"/>
    <w:rsid w:val="00C73B8D"/>
    <w:rsid w:val="00C73EB7"/>
    <w:rsid w:val="00C7413A"/>
    <w:rsid w:val="00C74602"/>
    <w:rsid w:val="00C74899"/>
    <w:rsid w:val="00C7495B"/>
    <w:rsid w:val="00C74C6A"/>
    <w:rsid w:val="00C75141"/>
    <w:rsid w:val="00C752E3"/>
    <w:rsid w:val="00C75384"/>
    <w:rsid w:val="00C754D5"/>
    <w:rsid w:val="00C7588F"/>
    <w:rsid w:val="00C75A99"/>
    <w:rsid w:val="00C75AD4"/>
    <w:rsid w:val="00C75D7F"/>
    <w:rsid w:val="00C75F23"/>
    <w:rsid w:val="00C75F2E"/>
    <w:rsid w:val="00C75F66"/>
    <w:rsid w:val="00C77095"/>
    <w:rsid w:val="00C776BA"/>
    <w:rsid w:val="00C77816"/>
    <w:rsid w:val="00C77924"/>
    <w:rsid w:val="00C7797F"/>
    <w:rsid w:val="00C77AC9"/>
    <w:rsid w:val="00C77E24"/>
    <w:rsid w:val="00C77FB1"/>
    <w:rsid w:val="00C8005C"/>
    <w:rsid w:val="00C804B8"/>
    <w:rsid w:val="00C80974"/>
    <w:rsid w:val="00C80C68"/>
    <w:rsid w:val="00C8151D"/>
    <w:rsid w:val="00C81AED"/>
    <w:rsid w:val="00C81CCB"/>
    <w:rsid w:val="00C81D5B"/>
    <w:rsid w:val="00C81E79"/>
    <w:rsid w:val="00C822F4"/>
    <w:rsid w:val="00C826FC"/>
    <w:rsid w:val="00C828FD"/>
    <w:rsid w:val="00C82D47"/>
    <w:rsid w:val="00C8335C"/>
    <w:rsid w:val="00C8357B"/>
    <w:rsid w:val="00C837B7"/>
    <w:rsid w:val="00C83DD1"/>
    <w:rsid w:val="00C8434A"/>
    <w:rsid w:val="00C8458D"/>
    <w:rsid w:val="00C84592"/>
    <w:rsid w:val="00C849B2"/>
    <w:rsid w:val="00C85519"/>
    <w:rsid w:val="00C85FD0"/>
    <w:rsid w:val="00C865CB"/>
    <w:rsid w:val="00C86803"/>
    <w:rsid w:val="00C872F3"/>
    <w:rsid w:val="00C873FD"/>
    <w:rsid w:val="00C877DB"/>
    <w:rsid w:val="00C87B6E"/>
    <w:rsid w:val="00C87E16"/>
    <w:rsid w:val="00C87F79"/>
    <w:rsid w:val="00C9004B"/>
    <w:rsid w:val="00C902D2"/>
    <w:rsid w:val="00C9078B"/>
    <w:rsid w:val="00C90B3E"/>
    <w:rsid w:val="00C90B8B"/>
    <w:rsid w:val="00C90C99"/>
    <w:rsid w:val="00C91044"/>
    <w:rsid w:val="00C91107"/>
    <w:rsid w:val="00C918AC"/>
    <w:rsid w:val="00C918AF"/>
    <w:rsid w:val="00C91AD2"/>
    <w:rsid w:val="00C9226E"/>
    <w:rsid w:val="00C92451"/>
    <w:rsid w:val="00C92726"/>
    <w:rsid w:val="00C92816"/>
    <w:rsid w:val="00C92AEB"/>
    <w:rsid w:val="00C92F37"/>
    <w:rsid w:val="00C93234"/>
    <w:rsid w:val="00C936DD"/>
    <w:rsid w:val="00C94116"/>
    <w:rsid w:val="00C942C3"/>
    <w:rsid w:val="00C94713"/>
    <w:rsid w:val="00C949FB"/>
    <w:rsid w:val="00C953CF"/>
    <w:rsid w:val="00C958AE"/>
    <w:rsid w:val="00C95B2E"/>
    <w:rsid w:val="00C96691"/>
    <w:rsid w:val="00C96AFB"/>
    <w:rsid w:val="00C9745B"/>
    <w:rsid w:val="00C974CA"/>
    <w:rsid w:val="00C97510"/>
    <w:rsid w:val="00C97CC8"/>
    <w:rsid w:val="00C97E4F"/>
    <w:rsid w:val="00CA0112"/>
    <w:rsid w:val="00CA019D"/>
    <w:rsid w:val="00CA0200"/>
    <w:rsid w:val="00CA047A"/>
    <w:rsid w:val="00CA0C3B"/>
    <w:rsid w:val="00CA0FAF"/>
    <w:rsid w:val="00CA0FC4"/>
    <w:rsid w:val="00CA16F3"/>
    <w:rsid w:val="00CA19FC"/>
    <w:rsid w:val="00CA1DDE"/>
    <w:rsid w:val="00CA1E2D"/>
    <w:rsid w:val="00CA2061"/>
    <w:rsid w:val="00CA27AB"/>
    <w:rsid w:val="00CA28FE"/>
    <w:rsid w:val="00CA2C6B"/>
    <w:rsid w:val="00CA3017"/>
    <w:rsid w:val="00CA321D"/>
    <w:rsid w:val="00CA35EB"/>
    <w:rsid w:val="00CA3ACB"/>
    <w:rsid w:val="00CA3EC2"/>
    <w:rsid w:val="00CA450B"/>
    <w:rsid w:val="00CA47C9"/>
    <w:rsid w:val="00CA48A6"/>
    <w:rsid w:val="00CA4996"/>
    <w:rsid w:val="00CA4AB0"/>
    <w:rsid w:val="00CA4E8F"/>
    <w:rsid w:val="00CA4F16"/>
    <w:rsid w:val="00CA50CF"/>
    <w:rsid w:val="00CA51E6"/>
    <w:rsid w:val="00CA5216"/>
    <w:rsid w:val="00CA5B48"/>
    <w:rsid w:val="00CA5E70"/>
    <w:rsid w:val="00CA6708"/>
    <w:rsid w:val="00CA67FA"/>
    <w:rsid w:val="00CA6844"/>
    <w:rsid w:val="00CA6971"/>
    <w:rsid w:val="00CA6AF2"/>
    <w:rsid w:val="00CA6F98"/>
    <w:rsid w:val="00CA7013"/>
    <w:rsid w:val="00CA7618"/>
    <w:rsid w:val="00CA77F1"/>
    <w:rsid w:val="00CA7CD0"/>
    <w:rsid w:val="00CA7DF1"/>
    <w:rsid w:val="00CA7E3A"/>
    <w:rsid w:val="00CA7FDA"/>
    <w:rsid w:val="00CB045B"/>
    <w:rsid w:val="00CB072A"/>
    <w:rsid w:val="00CB0846"/>
    <w:rsid w:val="00CB1226"/>
    <w:rsid w:val="00CB1A9E"/>
    <w:rsid w:val="00CB1DFB"/>
    <w:rsid w:val="00CB1FAE"/>
    <w:rsid w:val="00CB3062"/>
    <w:rsid w:val="00CB37E3"/>
    <w:rsid w:val="00CB3871"/>
    <w:rsid w:val="00CB431C"/>
    <w:rsid w:val="00CB44FD"/>
    <w:rsid w:val="00CB4866"/>
    <w:rsid w:val="00CB4917"/>
    <w:rsid w:val="00CB4B5A"/>
    <w:rsid w:val="00CB51E6"/>
    <w:rsid w:val="00CB527F"/>
    <w:rsid w:val="00CB5548"/>
    <w:rsid w:val="00CB5744"/>
    <w:rsid w:val="00CB5784"/>
    <w:rsid w:val="00CB5B00"/>
    <w:rsid w:val="00CB5BE5"/>
    <w:rsid w:val="00CB601E"/>
    <w:rsid w:val="00CB60A1"/>
    <w:rsid w:val="00CB6565"/>
    <w:rsid w:val="00CB675C"/>
    <w:rsid w:val="00CB6A45"/>
    <w:rsid w:val="00CB6B2E"/>
    <w:rsid w:val="00CB6ED9"/>
    <w:rsid w:val="00CB746F"/>
    <w:rsid w:val="00CB76F3"/>
    <w:rsid w:val="00CB77E9"/>
    <w:rsid w:val="00CB7E29"/>
    <w:rsid w:val="00CB7F38"/>
    <w:rsid w:val="00CB7FAC"/>
    <w:rsid w:val="00CC0509"/>
    <w:rsid w:val="00CC0529"/>
    <w:rsid w:val="00CC0977"/>
    <w:rsid w:val="00CC0A64"/>
    <w:rsid w:val="00CC0ABF"/>
    <w:rsid w:val="00CC0BC0"/>
    <w:rsid w:val="00CC0C54"/>
    <w:rsid w:val="00CC0E35"/>
    <w:rsid w:val="00CC1068"/>
    <w:rsid w:val="00CC1128"/>
    <w:rsid w:val="00CC17F5"/>
    <w:rsid w:val="00CC1A0B"/>
    <w:rsid w:val="00CC1C9D"/>
    <w:rsid w:val="00CC1E89"/>
    <w:rsid w:val="00CC264C"/>
    <w:rsid w:val="00CC2AAF"/>
    <w:rsid w:val="00CC2AEA"/>
    <w:rsid w:val="00CC2D26"/>
    <w:rsid w:val="00CC2D88"/>
    <w:rsid w:val="00CC2F4A"/>
    <w:rsid w:val="00CC3585"/>
    <w:rsid w:val="00CC358E"/>
    <w:rsid w:val="00CC3A4D"/>
    <w:rsid w:val="00CC3A93"/>
    <w:rsid w:val="00CC3E84"/>
    <w:rsid w:val="00CC3EB1"/>
    <w:rsid w:val="00CC428F"/>
    <w:rsid w:val="00CC4316"/>
    <w:rsid w:val="00CC439C"/>
    <w:rsid w:val="00CC4622"/>
    <w:rsid w:val="00CC58D3"/>
    <w:rsid w:val="00CC5CEF"/>
    <w:rsid w:val="00CC5D95"/>
    <w:rsid w:val="00CC624E"/>
    <w:rsid w:val="00CC638B"/>
    <w:rsid w:val="00CC6846"/>
    <w:rsid w:val="00CC6BF2"/>
    <w:rsid w:val="00CC70B2"/>
    <w:rsid w:val="00CC77CD"/>
    <w:rsid w:val="00CC7849"/>
    <w:rsid w:val="00CC7C26"/>
    <w:rsid w:val="00CD0014"/>
    <w:rsid w:val="00CD019E"/>
    <w:rsid w:val="00CD074A"/>
    <w:rsid w:val="00CD0835"/>
    <w:rsid w:val="00CD0AF6"/>
    <w:rsid w:val="00CD123D"/>
    <w:rsid w:val="00CD14BA"/>
    <w:rsid w:val="00CD14DF"/>
    <w:rsid w:val="00CD1A51"/>
    <w:rsid w:val="00CD1B81"/>
    <w:rsid w:val="00CD1E48"/>
    <w:rsid w:val="00CD20A6"/>
    <w:rsid w:val="00CD2432"/>
    <w:rsid w:val="00CD276C"/>
    <w:rsid w:val="00CD2976"/>
    <w:rsid w:val="00CD2B40"/>
    <w:rsid w:val="00CD308D"/>
    <w:rsid w:val="00CD33D2"/>
    <w:rsid w:val="00CD3597"/>
    <w:rsid w:val="00CD35D1"/>
    <w:rsid w:val="00CD35F3"/>
    <w:rsid w:val="00CD3BAC"/>
    <w:rsid w:val="00CD3CC2"/>
    <w:rsid w:val="00CD3F51"/>
    <w:rsid w:val="00CD4867"/>
    <w:rsid w:val="00CD49F1"/>
    <w:rsid w:val="00CD4A4B"/>
    <w:rsid w:val="00CD4FC7"/>
    <w:rsid w:val="00CD5239"/>
    <w:rsid w:val="00CD55E9"/>
    <w:rsid w:val="00CD5F21"/>
    <w:rsid w:val="00CD6151"/>
    <w:rsid w:val="00CD6944"/>
    <w:rsid w:val="00CD7DC4"/>
    <w:rsid w:val="00CE0054"/>
    <w:rsid w:val="00CE04B2"/>
    <w:rsid w:val="00CE084E"/>
    <w:rsid w:val="00CE0881"/>
    <w:rsid w:val="00CE0F26"/>
    <w:rsid w:val="00CE102D"/>
    <w:rsid w:val="00CE10CC"/>
    <w:rsid w:val="00CE1494"/>
    <w:rsid w:val="00CE1BE7"/>
    <w:rsid w:val="00CE27FC"/>
    <w:rsid w:val="00CE2836"/>
    <w:rsid w:val="00CE3009"/>
    <w:rsid w:val="00CE339A"/>
    <w:rsid w:val="00CE3929"/>
    <w:rsid w:val="00CE3A16"/>
    <w:rsid w:val="00CE3C74"/>
    <w:rsid w:val="00CE3E7D"/>
    <w:rsid w:val="00CE41DB"/>
    <w:rsid w:val="00CE420C"/>
    <w:rsid w:val="00CE437F"/>
    <w:rsid w:val="00CE4539"/>
    <w:rsid w:val="00CE4682"/>
    <w:rsid w:val="00CE4D92"/>
    <w:rsid w:val="00CE552F"/>
    <w:rsid w:val="00CE5681"/>
    <w:rsid w:val="00CE5B05"/>
    <w:rsid w:val="00CE5D2C"/>
    <w:rsid w:val="00CE6932"/>
    <w:rsid w:val="00CE6CF4"/>
    <w:rsid w:val="00CE6DF7"/>
    <w:rsid w:val="00CE6F66"/>
    <w:rsid w:val="00CE711A"/>
    <w:rsid w:val="00CE711B"/>
    <w:rsid w:val="00CE72A4"/>
    <w:rsid w:val="00CE7363"/>
    <w:rsid w:val="00CE7FD5"/>
    <w:rsid w:val="00CF07A8"/>
    <w:rsid w:val="00CF07FE"/>
    <w:rsid w:val="00CF0CE0"/>
    <w:rsid w:val="00CF0F6F"/>
    <w:rsid w:val="00CF1290"/>
    <w:rsid w:val="00CF137A"/>
    <w:rsid w:val="00CF18FF"/>
    <w:rsid w:val="00CF1B46"/>
    <w:rsid w:val="00CF25D6"/>
    <w:rsid w:val="00CF2795"/>
    <w:rsid w:val="00CF2A62"/>
    <w:rsid w:val="00CF2BEB"/>
    <w:rsid w:val="00CF2C06"/>
    <w:rsid w:val="00CF2D2E"/>
    <w:rsid w:val="00CF3507"/>
    <w:rsid w:val="00CF3647"/>
    <w:rsid w:val="00CF4268"/>
    <w:rsid w:val="00CF430B"/>
    <w:rsid w:val="00CF44B4"/>
    <w:rsid w:val="00CF4943"/>
    <w:rsid w:val="00CF497A"/>
    <w:rsid w:val="00CF4CFA"/>
    <w:rsid w:val="00CF4E10"/>
    <w:rsid w:val="00CF4F15"/>
    <w:rsid w:val="00CF5656"/>
    <w:rsid w:val="00CF5874"/>
    <w:rsid w:val="00CF5A04"/>
    <w:rsid w:val="00CF5B3C"/>
    <w:rsid w:val="00CF62BE"/>
    <w:rsid w:val="00CF6477"/>
    <w:rsid w:val="00CF689F"/>
    <w:rsid w:val="00CF68ED"/>
    <w:rsid w:val="00CF6941"/>
    <w:rsid w:val="00CF6C28"/>
    <w:rsid w:val="00CF6EF8"/>
    <w:rsid w:val="00CF6F97"/>
    <w:rsid w:val="00CF7256"/>
    <w:rsid w:val="00CF7798"/>
    <w:rsid w:val="00CF77E2"/>
    <w:rsid w:val="00CF7900"/>
    <w:rsid w:val="00CF793C"/>
    <w:rsid w:val="00CF7CEB"/>
    <w:rsid w:val="00D000BE"/>
    <w:rsid w:val="00D001A4"/>
    <w:rsid w:val="00D00A8B"/>
    <w:rsid w:val="00D012B2"/>
    <w:rsid w:val="00D01FB2"/>
    <w:rsid w:val="00D020BA"/>
    <w:rsid w:val="00D0281F"/>
    <w:rsid w:val="00D02855"/>
    <w:rsid w:val="00D02BAE"/>
    <w:rsid w:val="00D02CD1"/>
    <w:rsid w:val="00D02DEC"/>
    <w:rsid w:val="00D03403"/>
    <w:rsid w:val="00D03987"/>
    <w:rsid w:val="00D03AEE"/>
    <w:rsid w:val="00D03C88"/>
    <w:rsid w:val="00D03C89"/>
    <w:rsid w:val="00D03CA1"/>
    <w:rsid w:val="00D04165"/>
    <w:rsid w:val="00D04634"/>
    <w:rsid w:val="00D0479E"/>
    <w:rsid w:val="00D04D49"/>
    <w:rsid w:val="00D04F75"/>
    <w:rsid w:val="00D0562B"/>
    <w:rsid w:val="00D05F19"/>
    <w:rsid w:val="00D061A8"/>
    <w:rsid w:val="00D061B7"/>
    <w:rsid w:val="00D064AB"/>
    <w:rsid w:val="00D06860"/>
    <w:rsid w:val="00D06A1F"/>
    <w:rsid w:val="00D06B9E"/>
    <w:rsid w:val="00D07089"/>
    <w:rsid w:val="00D071C3"/>
    <w:rsid w:val="00D078A3"/>
    <w:rsid w:val="00D103B3"/>
    <w:rsid w:val="00D10435"/>
    <w:rsid w:val="00D10460"/>
    <w:rsid w:val="00D10728"/>
    <w:rsid w:val="00D10814"/>
    <w:rsid w:val="00D10A08"/>
    <w:rsid w:val="00D10ADD"/>
    <w:rsid w:val="00D1188E"/>
    <w:rsid w:val="00D119B5"/>
    <w:rsid w:val="00D11B33"/>
    <w:rsid w:val="00D11E22"/>
    <w:rsid w:val="00D11F52"/>
    <w:rsid w:val="00D121D1"/>
    <w:rsid w:val="00D12554"/>
    <w:rsid w:val="00D126E2"/>
    <w:rsid w:val="00D12DFD"/>
    <w:rsid w:val="00D132AB"/>
    <w:rsid w:val="00D134E8"/>
    <w:rsid w:val="00D1373E"/>
    <w:rsid w:val="00D13907"/>
    <w:rsid w:val="00D13A6B"/>
    <w:rsid w:val="00D13F54"/>
    <w:rsid w:val="00D13FC4"/>
    <w:rsid w:val="00D13FEB"/>
    <w:rsid w:val="00D1435D"/>
    <w:rsid w:val="00D144F7"/>
    <w:rsid w:val="00D14586"/>
    <w:rsid w:val="00D14A83"/>
    <w:rsid w:val="00D14FE4"/>
    <w:rsid w:val="00D1569C"/>
    <w:rsid w:val="00D15E59"/>
    <w:rsid w:val="00D16112"/>
    <w:rsid w:val="00D1620E"/>
    <w:rsid w:val="00D16615"/>
    <w:rsid w:val="00D166A3"/>
    <w:rsid w:val="00D16839"/>
    <w:rsid w:val="00D16A0B"/>
    <w:rsid w:val="00D16A6C"/>
    <w:rsid w:val="00D17423"/>
    <w:rsid w:val="00D174AA"/>
    <w:rsid w:val="00D1753B"/>
    <w:rsid w:val="00D17DDA"/>
    <w:rsid w:val="00D2000B"/>
    <w:rsid w:val="00D20AFC"/>
    <w:rsid w:val="00D20C88"/>
    <w:rsid w:val="00D217AD"/>
    <w:rsid w:val="00D21B5F"/>
    <w:rsid w:val="00D21C4C"/>
    <w:rsid w:val="00D221A0"/>
    <w:rsid w:val="00D224CB"/>
    <w:rsid w:val="00D22AA1"/>
    <w:rsid w:val="00D22AB5"/>
    <w:rsid w:val="00D22E26"/>
    <w:rsid w:val="00D2301E"/>
    <w:rsid w:val="00D23139"/>
    <w:rsid w:val="00D23255"/>
    <w:rsid w:val="00D238C4"/>
    <w:rsid w:val="00D23BA7"/>
    <w:rsid w:val="00D23DCE"/>
    <w:rsid w:val="00D23F46"/>
    <w:rsid w:val="00D2403A"/>
    <w:rsid w:val="00D24104"/>
    <w:rsid w:val="00D24DCB"/>
    <w:rsid w:val="00D251BC"/>
    <w:rsid w:val="00D252DF"/>
    <w:rsid w:val="00D25466"/>
    <w:rsid w:val="00D256B0"/>
    <w:rsid w:val="00D25A54"/>
    <w:rsid w:val="00D25AFD"/>
    <w:rsid w:val="00D25CE7"/>
    <w:rsid w:val="00D2658B"/>
    <w:rsid w:val="00D26F13"/>
    <w:rsid w:val="00D271DD"/>
    <w:rsid w:val="00D30312"/>
    <w:rsid w:val="00D303C7"/>
    <w:rsid w:val="00D30414"/>
    <w:rsid w:val="00D312EC"/>
    <w:rsid w:val="00D31338"/>
    <w:rsid w:val="00D313E0"/>
    <w:rsid w:val="00D320AD"/>
    <w:rsid w:val="00D3264A"/>
    <w:rsid w:val="00D32946"/>
    <w:rsid w:val="00D32AF5"/>
    <w:rsid w:val="00D32BA4"/>
    <w:rsid w:val="00D32F49"/>
    <w:rsid w:val="00D32F94"/>
    <w:rsid w:val="00D33328"/>
    <w:rsid w:val="00D333B0"/>
    <w:rsid w:val="00D3351D"/>
    <w:rsid w:val="00D33745"/>
    <w:rsid w:val="00D33751"/>
    <w:rsid w:val="00D338C9"/>
    <w:rsid w:val="00D33C4E"/>
    <w:rsid w:val="00D34579"/>
    <w:rsid w:val="00D345B2"/>
    <w:rsid w:val="00D3462C"/>
    <w:rsid w:val="00D34C5A"/>
    <w:rsid w:val="00D34E89"/>
    <w:rsid w:val="00D3503E"/>
    <w:rsid w:val="00D35476"/>
    <w:rsid w:val="00D35564"/>
    <w:rsid w:val="00D356BB"/>
    <w:rsid w:val="00D35A85"/>
    <w:rsid w:val="00D361D0"/>
    <w:rsid w:val="00D36445"/>
    <w:rsid w:val="00D36851"/>
    <w:rsid w:val="00D37230"/>
    <w:rsid w:val="00D373CB"/>
    <w:rsid w:val="00D3760A"/>
    <w:rsid w:val="00D3765B"/>
    <w:rsid w:val="00D37ABC"/>
    <w:rsid w:val="00D37AE9"/>
    <w:rsid w:val="00D37C83"/>
    <w:rsid w:val="00D37CBD"/>
    <w:rsid w:val="00D40242"/>
    <w:rsid w:val="00D403EE"/>
    <w:rsid w:val="00D40402"/>
    <w:rsid w:val="00D4055F"/>
    <w:rsid w:val="00D4075C"/>
    <w:rsid w:val="00D407FF"/>
    <w:rsid w:val="00D40A27"/>
    <w:rsid w:val="00D40B34"/>
    <w:rsid w:val="00D40DDD"/>
    <w:rsid w:val="00D411B2"/>
    <w:rsid w:val="00D41276"/>
    <w:rsid w:val="00D41589"/>
    <w:rsid w:val="00D4165B"/>
    <w:rsid w:val="00D41929"/>
    <w:rsid w:val="00D420D4"/>
    <w:rsid w:val="00D4222F"/>
    <w:rsid w:val="00D42361"/>
    <w:rsid w:val="00D4285E"/>
    <w:rsid w:val="00D42B90"/>
    <w:rsid w:val="00D4300D"/>
    <w:rsid w:val="00D43117"/>
    <w:rsid w:val="00D4360F"/>
    <w:rsid w:val="00D437D6"/>
    <w:rsid w:val="00D43956"/>
    <w:rsid w:val="00D439FD"/>
    <w:rsid w:val="00D43ACF"/>
    <w:rsid w:val="00D43FEE"/>
    <w:rsid w:val="00D4404F"/>
    <w:rsid w:val="00D444F8"/>
    <w:rsid w:val="00D445B9"/>
    <w:rsid w:val="00D44F2B"/>
    <w:rsid w:val="00D44FF1"/>
    <w:rsid w:val="00D453F4"/>
    <w:rsid w:val="00D45890"/>
    <w:rsid w:val="00D45D19"/>
    <w:rsid w:val="00D46522"/>
    <w:rsid w:val="00D46BE0"/>
    <w:rsid w:val="00D46D9F"/>
    <w:rsid w:val="00D46DD3"/>
    <w:rsid w:val="00D47443"/>
    <w:rsid w:val="00D475BB"/>
    <w:rsid w:val="00D479D4"/>
    <w:rsid w:val="00D47B30"/>
    <w:rsid w:val="00D47BC1"/>
    <w:rsid w:val="00D47D56"/>
    <w:rsid w:val="00D500D9"/>
    <w:rsid w:val="00D5027C"/>
    <w:rsid w:val="00D50A3E"/>
    <w:rsid w:val="00D50A6B"/>
    <w:rsid w:val="00D50B49"/>
    <w:rsid w:val="00D50D39"/>
    <w:rsid w:val="00D50D60"/>
    <w:rsid w:val="00D511E8"/>
    <w:rsid w:val="00D5130B"/>
    <w:rsid w:val="00D51535"/>
    <w:rsid w:val="00D516D4"/>
    <w:rsid w:val="00D51876"/>
    <w:rsid w:val="00D51900"/>
    <w:rsid w:val="00D51F17"/>
    <w:rsid w:val="00D52265"/>
    <w:rsid w:val="00D5226F"/>
    <w:rsid w:val="00D5233C"/>
    <w:rsid w:val="00D524D3"/>
    <w:rsid w:val="00D5257B"/>
    <w:rsid w:val="00D52A39"/>
    <w:rsid w:val="00D52B0A"/>
    <w:rsid w:val="00D52BAC"/>
    <w:rsid w:val="00D52ED0"/>
    <w:rsid w:val="00D5347B"/>
    <w:rsid w:val="00D53BC3"/>
    <w:rsid w:val="00D53C09"/>
    <w:rsid w:val="00D53DC2"/>
    <w:rsid w:val="00D5429E"/>
    <w:rsid w:val="00D544F6"/>
    <w:rsid w:val="00D54525"/>
    <w:rsid w:val="00D545CD"/>
    <w:rsid w:val="00D54618"/>
    <w:rsid w:val="00D54A83"/>
    <w:rsid w:val="00D55164"/>
    <w:rsid w:val="00D554E7"/>
    <w:rsid w:val="00D554E9"/>
    <w:rsid w:val="00D55861"/>
    <w:rsid w:val="00D559CA"/>
    <w:rsid w:val="00D55C08"/>
    <w:rsid w:val="00D55CB1"/>
    <w:rsid w:val="00D55E7E"/>
    <w:rsid w:val="00D5616C"/>
    <w:rsid w:val="00D56394"/>
    <w:rsid w:val="00D573F6"/>
    <w:rsid w:val="00D600DF"/>
    <w:rsid w:val="00D603E2"/>
    <w:rsid w:val="00D607BB"/>
    <w:rsid w:val="00D60A59"/>
    <w:rsid w:val="00D60AD0"/>
    <w:rsid w:val="00D60D99"/>
    <w:rsid w:val="00D61064"/>
    <w:rsid w:val="00D6186C"/>
    <w:rsid w:val="00D61E4B"/>
    <w:rsid w:val="00D62064"/>
    <w:rsid w:val="00D62740"/>
    <w:rsid w:val="00D62B3C"/>
    <w:rsid w:val="00D63071"/>
    <w:rsid w:val="00D63133"/>
    <w:rsid w:val="00D63509"/>
    <w:rsid w:val="00D635DE"/>
    <w:rsid w:val="00D637F1"/>
    <w:rsid w:val="00D6395D"/>
    <w:rsid w:val="00D639DC"/>
    <w:rsid w:val="00D63D97"/>
    <w:rsid w:val="00D64751"/>
    <w:rsid w:val="00D6491D"/>
    <w:rsid w:val="00D64A24"/>
    <w:rsid w:val="00D651C6"/>
    <w:rsid w:val="00D65699"/>
    <w:rsid w:val="00D662EE"/>
    <w:rsid w:val="00D66DF0"/>
    <w:rsid w:val="00D6706D"/>
    <w:rsid w:val="00D674F3"/>
    <w:rsid w:val="00D678D2"/>
    <w:rsid w:val="00D70043"/>
    <w:rsid w:val="00D7035C"/>
    <w:rsid w:val="00D704E0"/>
    <w:rsid w:val="00D70D73"/>
    <w:rsid w:val="00D7107E"/>
    <w:rsid w:val="00D716DC"/>
    <w:rsid w:val="00D71BD8"/>
    <w:rsid w:val="00D71DA9"/>
    <w:rsid w:val="00D72144"/>
    <w:rsid w:val="00D72688"/>
    <w:rsid w:val="00D727DA"/>
    <w:rsid w:val="00D73001"/>
    <w:rsid w:val="00D7324E"/>
    <w:rsid w:val="00D735A3"/>
    <w:rsid w:val="00D737E1"/>
    <w:rsid w:val="00D74022"/>
    <w:rsid w:val="00D74134"/>
    <w:rsid w:val="00D74A67"/>
    <w:rsid w:val="00D74AFB"/>
    <w:rsid w:val="00D752FF"/>
    <w:rsid w:val="00D755A8"/>
    <w:rsid w:val="00D75631"/>
    <w:rsid w:val="00D7575D"/>
    <w:rsid w:val="00D75840"/>
    <w:rsid w:val="00D75CE7"/>
    <w:rsid w:val="00D75D83"/>
    <w:rsid w:val="00D75E77"/>
    <w:rsid w:val="00D76243"/>
    <w:rsid w:val="00D7675C"/>
    <w:rsid w:val="00D7679D"/>
    <w:rsid w:val="00D7681C"/>
    <w:rsid w:val="00D76A2E"/>
    <w:rsid w:val="00D76A41"/>
    <w:rsid w:val="00D771B8"/>
    <w:rsid w:val="00D77598"/>
    <w:rsid w:val="00D7774C"/>
    <w:rsid w:val="00D77FE6"/>
    <w:rsid w:val="00D801C5"/>
    <w:rsid w:val="00D80248"/>
    <w:rsid w:val="00D80358"/>
    <w:rsid w:val="00D80A57"/>
    <w:rsid w:val="00D80A7B"/>
    <w:rsid w:val="00D80BD3"/>
    <w:rsid w:val="00D80DA0"/>
    <w:rsid w:val="00D80FF7"/>
    <w:rsid w:val="00D812AB"/>
    <w:rsid w:val="00D8132F"/>
    <w:rsid w:val="00D813AC"/>
    <w:rsid w:val="00D81402"/>
    <w:rsid w:val="00D814D1"/>
    <w:rsid w:val="00D81875"/>
    <w:rsid w:val="00D81877"/>
    <w:rsid w:val="00D818C8"/>
    <w:rsid w:val="00D81BC8"/>
    <w:rsid w:val="00D81E76"/>
    <w:rsid w:val="00D81EAB"/>
    <w:rsid w:val="00D81EAC"/>
    <w:rsid w:val="00D82013"/>
    <w:rsid w:val="00D821AD"/>
    <w:rsid w:val="00D821E3"/>
    <w:rsid w:val="00D82430"/>
    <w:rsid w:val="00D824F0"/>
    <w:rsid w:val="00D82877"/>
    <w:rsid w:val="00D829FD"/>
    <w:rsid w:val="00D82A0C"/>
    <w:rsid w:val="00D8320C"/>
    <w:rsid w:val="00D8392A"/>
    <w:rsid w:val="00D83A65"/>
    <w:rsid w:val="00D83C71"/>
    <w:rsid w:val="00D840B7"/>
    <w:rsid w:val="00D84268"/>
    <w:rsid w:val="00D8488B"/>
    <w:rsid w:val="00D84DE3"/>
    <w:rsid w:val="00D850B9"/>
    <w:rsid w:val="00D85418"/>
    <w:rsid w:val="00D854F3"/>
    <w:rsid w:val="00D859FC"/>
    <w:rsid w:val="00D85AFD"/>
    <w:rsid w:val="00D85E39"/>
    <w:rsid w:val="00D86139"/>
    <w:rsid w:val="00D867BF"/>
    <w:rsid w:val="00D87A27"/>
    <w:rsid w:val="00D87A6B"/>
    <w:rsid w:val="00D87B63"/>
    <w:rsid w:val="00D87D6A"/>
    <w:rsid w:val="00D87FD3"/>
    <w:rsid w:val="00D90219"/>
    <w:rsid w:val="00D90381"/>
    <w:rsid w:val="00D905F0"/>
    <w:rsid w:val="00D90766"/>
    <w:rsid w:val="00D9090D"/>
    <w:rsid w:val="00D90F31"/>
    <w:rsid w:val="00D91302"/>
    <w:rsid w:val="00D91922"/>
    <w:rsid w:val="00D91970"/>
    <w:rsid w:val="00D91F24"/>
    <w:rsid w:val="00D922C4"/>
    <w:rsid w:val="00D9244A"/>
    <w:rsid w:val="00D92673"/>
    <w:rsid w:val="00D92851"/>
    <w:rsid w:val="00D92A13"/>
    <w:rsid w:val="00D92F86"/>
    <w:rsid w:val="00D92FA4"/>
    <w:rsid w:val="00D9323F"/>
    <w:rsid w:val="00D93868"/>
    <w:rsid w:val="00D94297"/>
    <w:rsid w:val="00D94FF7"/>
    <w:rsid w:val="00D955B8"/>
    <w:rsid w:val="00D95C2B"/>
    <w:rsid w:val="00D9739B"/>
    <w:rsid w:val="00D974C1"/>
    <w:rsid w:val="00D97C27"/>
    <w:rsid w:val="00D97CBC"/>
    <w:rsid w:val="00D97CF2"/>
    <w:rsid w:val="00D97DEA"/>
    <w:rsid w:val="00DA005A"/>
    <w:rsid w:val="00DA05AA"/>
    <w:rsid w:val="00DA09CE"/>
    <w:rsid w:val="00DA11CF"/>
    <w:rsid w:val="00DA14E1"/>
    <w:rsid w:val="00DA15EB"/>
    <w:rsid w:val="00DA1B09"/>
    <w:rsid w:val="00DA1C29"/>
    <w:rsid w:val="00DA264E"/>
    <w:rsid w:val="00DA2765"/>
    <w:rsid w:val="00DA28F6"/>
    <w:rsid w:val="00DA29C3"/>
    <w:rsid w:val="00DA2F2B"/>
    <w:rsid w:val="00DA2FA7"/>
    <w:rsid w:val="00DA30A5"/>
    <w:rsid w:val="00DA3654"/>
    <w:rsid w:val="00DA397E"/>
    <w:rsid w:val="00DA3A1E"/>
    <w:rsid w:val="00DA3C32"/>
    <w:rsid w:val="00DA3DFB"/>
    <w:rsid w:val="00DA3FDD"/>
    <w:rsid w:val="00DA436F"/>
    <w:rsid w:val="00DA43D2"/>
    <w:rsid w:val="00DA4B87"/>
    <w:rsid w:val="00DA4E0A"/>
    <w:rsid w:val="00DA4F7D"/>
    <w:rsid w:val="00DA53D2"/>
    <w:rsid w:val="00DA54E5"/>
    <w:rsid w:val="00DA55FA"/>
    <w:rsid w:val="00DA5860"/>
    <w:rsid w:val="00DA5BDB"/>
    <w:rsid w:val="00DA5F5E"/>
    <w:rsid w:val="00DA632B"/>
    <w:rsid w:val="00DA6E29"/>
    <w:rsid w:val="00DA745D"/>
    <w:rsid w:val="00DA7624"/>
    <w:rsid w:val="00DA7CEF"/>
    <w:rsid w:val="00DA7FF8"/>
    <w:rsid w:val="00DB00BA"/>
    <w:rsid w:val="00DB0617"/>
    <w:rsid w:val="00DB0ACD"/>
    <w:rsid w:val="00DB1270"/>
    <w:rsid w:val="00DB12F0"/>
    <w:rsid w:val="00DB171E"/>
    <w:rsid w:val="00DB1830"/>
    <w:rsid w:val="00DB1E47"/>
    <w:rsid w:val="00DB214D"/>
    <w:rsid w:val="00DB27E1"/>
    <w:rsid w:val="00DB2856"/>
    <w:rsid w:val="00DB3102"/>
    <w:rsid w:val="00DB36AA"/>
    <w:rsid w:val="00DB38DB"/>
    <w:rsid w:val="00DB397F"/>
    <w:rsid w:val="00DB3E0A"/>
    <w:rsid w:val="00DB405D"/>
    <w:rsid w:val="00DB432B"/>
    <w:rsid w:val="00DB4882"/>
    <w:rsid w:val="00DB4AB0"/>
    <w:rsid w:val="00DB4EA9"/>
    <w:rsid w:val="00DB4F1B"/>
    <w:rsid w:val="00DB589C"/>
    <w:rsid w:val="00DB5C80"/>
    <w:rsid w:val="00DB5C83"/>
    <w:rsid w:val="00DB6339"/>
    <w:rsid w:val="00DB6920"/>
    <w:rsid w:val="00DB6930"/>
    <w:rsid w:val="00DB6ADA"/>
    <w:rsid w:val="00DB74E3"/>
    <w:rsid w:val="00DB756C"/>
    <w:rsid w:val="00DB7D74"/>
    <w:rsid w:val="00DB7DE9"/>
    <w:rsid w:val="00DC0034"/>
    <w:rsid w:val="00DC036E"/>
    <w:rsid w:val="00DC03D1"/>
    <w:rsid w:val="00DC0400"/>
    <w:rsid w:val="00DC0751"/>
    <w:rsid w:val="00DC094A"/>
    <w:rsid w:val="00DC09F5"/>
    <w:rsid w:val="00DC0BAD"/>
    <w:rsid w:val="00DC1561"/>
    <w:rsid w:val="00DC15BF"/>
    <w:rsid w:val="00DC1908"/>
    <w:rsid w:val="00DC1A85"/>
    <w:rsid w:val="00DC1BA4"/>
    <w:rsid w:val="00DC1DF8"/>
    <w:rsid w:val="00DC21B2"/>
    <w:rsid w:val="00DC2404"/>
    <w:rsid w:val="00DC2447"/>
    <w:rsid w:val="00DC273A"/>
    <w:rsid w:val="00DC27A2"/>
    <w:rsid w:val="00DC2A6A"/>
    <w:rsid w:val="00DC2A77"/>
    <w:rsid w:val="00DC2CB6"/>
    <w:rsid w:val="00DC31C7"/>
    <w:rsid w:val="00DC3578"/>
    <w:rsid w:val="00DC3647"/>
    <w:rsid w:val="00DC37AE"/>
    <w:rsid w:val="00DC390C"/>
    <w:rsid w:val="00DC39C1"/>
    <w:rsid w:val="00DC3AD6"/>
    <w:rsid w:val="00DC3C99"/>
    <w:rsid w:val="00DC4126"/>
    <w:rsid w:val="00DC414C"/>
    <w:rsid w:val="00DC504E"/>
    <w:rsid w:val="00DC519F"/>
    <w:rsid w:val="00DC53FE"/>
    <w:rsid w:val="00DC54E8"/>
    <w:rsid w:val="00DC5A1F"/>
    <w:rsid w:val="00DC5B38"/>
    <w:rsid w:val="00DC5ECF"/>
    <w:rsid w:val="00DC6008"/>
    <w:rsid w:val="00DC6187"/>
    <w:rsid w:val="00DC6283"/>
    <w:rsid w:val="00DC62A5"/>
    <w:rsid w:val="00DC66C9"/>
    <w:rsid w:val="00DC6903"/>
    <w:rsid w:val="00DC6A52"/>
    <w:rsid w:val="00DC6C79"/>
    <w:rsid w:val="00DC6E22"/>
    <w:rsid w:val="00DC7002"/>
    <w:rsid w:val="00DC76C2"/>
    <w:rsid w:val="00DC7969"/>
    <w:rsid w:val="00DC7E0F"/>
    <w:rsid w:val="00DD005F"/>
    <w:rsid w:val="00DD007E"/>
    <w:rsid w:val="00DD03D7"/>
    <w:rsid w:val="00DD059C"/>
    <w:rsid w:val="00DD063A"/>
    <w:rsid w:val="00DD09A4"/>
    <w:rsid w:val="00DD0ACF"/>
    <w:rsid w:val="00DD0E20"/>
    <w:rsid w:val="00DD11B3"/>
    <w:rsid w:val="00DD17BD"/>
    <w:rsid w:val="00DD180D"/>
    <w:rsid w:val="00DD1846"/>
    <w:rsid w:val="00DD18A5"/>
    <w:rsid w:val="00DD19D1"/>
    <w:rsid w:val="00DD1B7F"/>
    <w:rsid w:val="00DD1F90"/>
    <w:rsid w:val="00DD21DF"/>
    <w:rsid w:val="00DD2729"/>
    <w:rsid w:val="00DD2B35"/>
    <w:rsid w:val="00DD2D6C"/>
    <w:rsid w:val="00DD303C"/>
    <w:rsid w:val="00DD3510"/>
    <w:rsid w:val="00DD428F"/>
    <w:rsid w:val="00DD44D0"/>
    <w:rsid w:val="00DD4865"/>
    <w:rsid w:val="00DD4CF0"/>
    <w:rsid w:val="00DD4F54"/>
    <w:rsid w:val="00DD5222"/>
    <w:rsid w:val="00DD54B5"/>
    <w:rsid w:val="00DD563C"/>
    <w:rsid w:val="00DD5B6E"/>
    <w:rsid w:val="00DD6042"/>
    <w:rsid w:val="00DD614F"/>
    <w:rsid w:val="00DD6227"/>
    <w:rsid w:val="00DD6261"/>
    <w:rsid w:val="00DD63C3"/>
    <w:rsid w:val="00DD648E"/>
    <w:rsid w:val="00DD65BF"/>
    <w:rsid w:val="00DD6915"/>
    <w:rsid w:val="00DD6BD3"/>
    <w:rsid w:val="00DD6DC3"/>
    <w:rsid w:val="00DD6E84"/>
    <w:rsid w:val="00DD6F00"/>
    <w:rsid w:val="00DD70AF"/>
    <w:rsid w:val="00DD7257"/>
    <w:rsid w:val="00DD72CF"/>
    <w:rsid w:val="00DD7301"/>
    <w:rsid w:val="00DD7329"/>
    <w:rsid w:val="00DD7533"/>
    <w:rsid w:val="00DD757D"/>
    <w:rsid w:val="00DD7919"/>
    <w:rsid w:val="00DD7D0B"/>
    <w:rsid w:val="00DE0B38"/>
    <w:rsid w:val="00DE1027"/>
    <w:rsid w:val="00DE203E"/>
    <w:rsid w:val="00DE2130"/>
    <w:rsid w:val="00DE21B2"/>
    <w:rsid w:val="00DE23AD"/>
    <w:rsid w:val="00DE2718"/>
    <w:rsid w:val="00DE29E9"/>
    <w:rsid w:val="00DE2BC5"/>
    <w:rsid w:val="00DE2CE8"/>
    <w:rsid w:val="00DE2E88"/>
    <w:rsid w:val="00DE2FAC"/>
    <w:rsid w:val="00DE3005"/>
    <w:rsid w:val="00DE304C"/>
    <w:rsid w:val="00DE325D"/>
    <w:rsid w:val="00DE3266"/>
    <w:rsid w:val="00DE36EC"/>
    <w:rsid w:val="00DE3795"/>
    <w:rsid w:val="00DE382E"/>
    <w:rsid w:val="00DE3A00"/>
    <w:rsid w:val="00DE3C8F"/>
    <w:rsid w:val="00DE40E6"/>
    <w:rsid w:val="00DE4221"/>
    <w:rsid w:val="00DE43FC"/>
    <w:rsid w:val="00DE45C2"/>
    <w:rsid w:val="00DE4638"/>
    <w:rsid w:val="00DE4646"/>
    <w:rsid w:val="00DE4791"/>
    <w:rsid w:val="00DE47DE"/>
    <w:rsid w:val="00DE480B"/>
    <w:rsid w:val="00DE4B2E"/>
    <w:rsid w:val="00DE4B9B"/>
    <w:rsid w:val="00DE4EF5"/>
    <w:rsid w:val="00DE509F"/>
    <w:rsid w:val="00DE520F"/>
    <w:rsid w:val="00DE527C"/>
    <w:rsid w:val="00DE52C6"/>
    <w:rsid w:val="00DE5590"/>
    <w:rsid w:val="00DE575A"/>
    <w:rsid w:val="00DE66CE"/>
    <w:rsid w:val="00DE6890"/>
    <w:rsid w:val="00DE6C6A"/>
    <w:rsid w:val="00DE7688"/>
    <w:rsid w:val="00DE7835"/>
    <w:rsid w:val="00DE792E"/>
    <w:rsid w:val="00DE7A0D"/>
    <w:rsid w:val="00DE7A7C"/>
    <w:rsid w:val="00DE7C9C"/>
    <w:rsid w:val="00DF010B"/>
    <w:rsid w:val="00DF0437"/>
    <w:rsid w:val="00DF0617"/>
    <w:rsid w:val="00DF0881"/>
    <w:rsid w:val="00DF0F43"/>
    <w:rsid w:val="00DF107F"/>
    <w:rsid w:val="00DF14D1"/>
    <w:rsid w:val="00DF19C9"/>
    <w:rsid w:val="00DF1C41"/>
    <w:rsid w:val="00DF2105"/>
    <w:rsid w:val="00DF2482"/>
    <w:rsid w:val="00DF28C7"/>
    <w:rsid w:val="00DF2AF6"/>
    <w:rsid w:val="00DF3823"/>
    <w:rsid w:val="00DF3CB5"/>
    <w:rsid w:val="00DF42C3"/>
    <w:rsid w:val="00DF4337"/>
    <w:rsid w:val="00DF4407"/>
    <w:rsid w:val="00DF472C"/>
    <w:rsid w:val="00DF4801"/>
    <w:rsid w:val="00DF49AB"/>
    <w:rsid w:val="00DF508C"/>
    <w:rsid w:val="00DF5344"/>
    <w:rsid w:val="00DF53D2"/>
    <w:rsid w:val="00DF553E"/>
    <w:rsid w:val="00DF5B9A"/>
    <w:rsid w:val="00DF5E8B"/>
    <w:rsid w:val="00DF65DA"/>
    <w:rsid w:val="00DF66A0"/>
    <w:rsid w:val="00DF6B47"/>
    <w:rsid w:val="00DF6E01"/>
    <w:rsid w:val="00DF6ED2"/>
    <w:rsid w:val="00DF7034"/>
    <w:rsid w:val="00DF716D"/>
    <w:rsid w:val="00DF77D8"/>
    <w:rsid w:val="00DF78CA"/>
    <w:rsid w:val="00DF78EE"/>
    <w:rsid w:val="00DF7BCC"/>
    <w:rsid w:val="00DF7BD1"/>
    <w:rsid w:val="00DF7F4E"/>
    <w:rsid w:val="00E006B2"/>
    <w:rsid w:val="00E008BB"/>
    <w:rsid w:val="00E00A59"/>
    <w:rsid w:val="00E00E1B"/>
    <w:rsid w:val="00E01008"/>
    <w:rsid w:val="00E014D7"/>
    <w:rsid w:val="00E015C4"/>
    <w:rsid w:val="00E018F8"/>
    <w:rsid w:val="00E01930"/>
    <w:rsid w:val="00E01CC7"/>
    <w:rsid w:val="00E01DE7"/>
    <w:rsid w:val="00E025BE"/>
    <w:rsid w:val="00E02676"/>
    <w:rsid w:val="00E02B45"/>
    <w:rsid w:val="00E02C57"/>
    <w:rsid w:val="00E02FCB"/>
    <w:rsid w:val="00E030AF"/>
    <w:rsid w:val="00E03494"/>
    <w:rsid w:val="00E03604"/>
    <w:rsid w:val="00E03D29"/>
    <w:rsid w:val="00E04231"/>
    <w:rsid w:val="00E0441D"/>
    <w:rsid w:val="00E04421"/>
    <w:rsid w:val="00E047E2"/>
    <w:rsid w:val="00E04B33"/>
    <w:rsid w:val="00E05678"/>
    <w:rsid w:val="00E057D1"/>
    <w:rsid w:val="00E05D1F"/>
    <w:rsid w:val="00E05FD0"/>
    <w:rsid w:val="00E06050"/>
    <w:rsid w:val="00E063C9"/>
    <w:rsid w:val="00E06411"/>
    <w:rsid w:val="00E064BE"/>
    <w:rsid w:val="00E066CE"/>
    <w:rsid w:val="00E06B9B"/>
    <w:rsid w:val="00E06E24"/>
    <w:rsid w:val="00E074D0"/>
    <w:rsid w:val="00E07535"/>
    <w:rsid w:val="00E0753F"/>
    <w:rsid w:val="00E07E3C"/>
    <w:rsid w:val="00E10041"/>
    <w:rsid w:val="00E112C5"/>
    <w:rsid w:val="00E11A83"/>
    <w:rsid w:val="00E11D76"/>
    <w:rsid w:val="00E11D88"/>
    <w:rsid w:val="00E120F6"/>
    <w:rsid w:val="00E1282C"/>
    <w:rsid w:val="00E12892"/>
    <w:rsid w:val="00E1297D"/>
    <w:rsid w:val="00E12A37"/>
    <w:rsid w:val="00E12ED6"/>
    <w:rsid w:val="00E130BE"/>
    <w:rsid w:val="00E1315F"/>
    <w:rsid w:val="00E1325B"/>
    <w:rsid w:val="00E1326B"/>
    <w:rsid w:val="00E1326F"/>
    <w:rsid w:val="00E13341"/>
    <w:rsid w:val="00E1349C"/>
    <w:rsid w:val="00E135FB"/>
    <w:rsid w:val="00E1386A"/>
    <w:rsid w:val="00E140FD"/>
    <w:rsid w:val="00E14951"/>
    <w:rsid w:val="00E14E06"/>
    <w:rsid w:val="00E14E28"/>
    <w:rsid w:val="00E14F4B"/>
    <w:rsid w:val="00E14FDF"/>
    <w:rsid w:val="00E15020"/>
    <w:rsid w:val="00E15437"/>
    <w:rsid w:val="00E156F2"/>
    <w:rsid w:val="00E15734"/>
    <w:rsid w:val="00E157BA"/>
    <w:rsid w:val="00E15AEF"/>
    <w:rsid w:val="00E15BF5"/>
    <w:rsid w:val="00E15CE0"/>
    <w:rsid w:val="00E16098"/>
    <w:rsid w:val="00E16407"/>
    <w:rsid w:val="00E16526"/>
    <w:rsid w:val="00E166F8"/>
    <w:rsid w:val="00E16DDB"/>
    <w:rsid w:val="00E16EE3"/>
    <w:rsid w:val="00E16FD2"/>
    <w:rsid w:val="00E17013"/>
    <w:rsid w:val="00E17327"/>
    <w:rsid w:val="00E17728"/>
    <w:rsid w:val="00E20775"/>
    <w:rsid w:val="00E207AF"/>
    <w:rsid w:val="00E20D92"/>
    <w:rsid w:val="00E21033"/>
    <w:rsid w:val="00E2180D"/>
    <w:rsid w:val="00E21844"/>
    <w:rsid w:val="00E21F23"/>
    <w:rsid w:val="00E2268B"/>
    <w:rsid w:val="00E227A6"/>
    <w:rsid w:val="00E2286A"/>
    <w:rsid w:val="00E2290E"/>
    <w:rsid w:val="00E229D4"/>
    <w:rsid w:val="00E22ACC"/>
    <w:rsid w:val="00E22D28"/>
    <w:rsid w:val="00E22E7B"/>
    <w:rsid w:val="00E22FCA"/>
    <w:rsid w:val="00E23559"/>
    <w:rsid w:val="00E237D9"/>
    <w:rsid w:val="00E23C2A"/>
    <w:rsid w:val="00E23D34"/>
    <w:rsid w:val="00E23F18"/>
    <w:rsid w:val="00E2418F"/>
    <w:rsid w:val="00E2427B"/>
    <w:rsid w:val="00E24302"/>
    <w:rsid w:val="00E248E9"/>
    <w:rsid w:val="00E2495B"/>
    <w:rsid w:val="00E24A7A"/>
    <w:rsid w:val="00E24B06"/>
    <w:rsid w:val="00E251EA"/>
    <w:rsid w:val="00E25293"/>
    <w:rsid w:val="00E25DBA"/>
    <w:rsid w:val="00E265F7"/>
    <w:rsid w:val="00E26665"/>
    <w:rsid w:val="00E267E6"/>
    <w:rsid w:val="00E2683B"/>
    <w:rsid w:val="00E27051"/>
    <w:rsid w:val="00E27367"/>
    <w:rsid w:val="00E274F7"/>
    <w:rsid w:val="00E2764F"/>
    <w:rsid w:val="00E27759"/>
    <w:rsid w:val="00E278F2"/>
    <w:rsid w:val="00E27CC0"/>
    <w:rsid w:val="00E27E36"/>
    <w:rsid w:val="00E27F11"/>
    <w:rsid w:val="00E309C7"/>
    <w:rsid w:val="00E31169"/>
    <w:rsid w:val="00E3118B"/>
    <w:rsid w:val="00E31215"/>
    <w:rsid w:val="00E314FA"/>
    <w:rsid w:val="00E31B2C"/>
    <w:rsid w:val="00E31C88"/>
    <w:rsid w:val="00E31EE3"/>
    <w:rsid w:val="00E321B7"/>
    <w:rsid w:val="00E322A1"/>
    <w:rsid w:val="00E32774"/>
    <w:rsid w:val="00E32874"/>
    <w:rsid w:val="00E32A93"/>
    <w:rsid w:val="00E32AAF"/>
    <w:rsid w:val="00E32E27"/>
    <w:rsid w:val="00E33485"/>
    <w:rsid w:val="00E33508"/>
    <w:rsid w:val="00E33753"/>
    <w:rsid w:val="00E337F1"/>
    <w:rsid w:val="00E33C38"/>
    <w:rsid w:val="00E33D69"/>
    <w:rsid w:val="00E33E30"/>
    <w:rsid w:val="00E34193"/>
    <w:rsid w:val="00E346DA"/>
    <w:rsid w:val="00E346E6"/>
    <w:rsid w:val="00E34AD5"/>
    <w:rsid w:val="00E34D47"/>
    <w:rsid w:val="00E34D90"/>
    <w:rsid w:val="00E352CE"/>
    <w:rsid w:val="00E354DB"/>
    <w:rsid w:val="00E35B95"/>
    <w:rsid w:val="00E35FD2"/>
    <w:rsid w:val="00E3605D"/>
    <w:rsid w:val="00E36C66"/>
    <w:rsid w:val="00E36EF6"/>
    <w:rsid w:val="00E3787B"/>
    <w:rsid w:val="00E37AB7"/>
    <w:rsid w:val="00E37B8C"/>
    <w:rsid w:val="00E37D42"/>
    <w:rsid w:val="00E37E76"/>
    <w:rsid w:val="00E400C2"/>
    <w:rsid w:val="00E400DB"/>
    <w:rsid w:val="00E402F3"/>
    <w:rsid w:val="00E40A68"/>
    <w:rsid w:val="00E412DA"/>
    <w:rsid w:val="00E41711"/>
    <w:rsid w:val="00E41801"/>
    <w:rsid w:val="00E419A7"/>
    <w:rsid w:val="00E41A06"/>
    <w:rsid w:val="00E41B0F"/>
    <w:rsid w:val="00E41FE5"/>
    <w:rsid w:val="00E42497"/>
    <w:rsid w:val="00E42738"/>
    <w:rsid w:val="00E4297B"/>
    <w:rsid w:val="00E42A00"/>
    <w:rsid w:val="00E431F5"/>
    <w:rsid w:val="00E432B1"/>
    <w:rsid w:val="00E439CD"/>
    <w:rsid w:val="00E44567"/>
    <w:rsid w:val="00E44590"/>
    <w:rsid w:val="00E4473E"/>
    <w:rsid w:val="00E44A11"/>
    <w:rsid w:val="00E44E77"/>
    <w:rsid w:val="00E44F7F"/>
    <w:rsid w:val="00E450A5"/>
    <w:rsid w:val="00E451C2"/>
    <w:rsid w:val="00E452E5"/>
    <w:rsid w:val="00E455EB"/>
    <w:rsid w:val="00E457C6"/>
    <w:rsid w:val="00E459A4"/>
    <w:rsid w:val="00E4605C"/>
    <w:rsid w:val="00E466BC"/>
    <w:rsid w:val="00E466FA"/>
    <w:rsid w:val="00E46ACB"/>
    <w:rsid w:val="00E46C61"/>
    <w:rsid w:val="00E46D56"/>
    <w:rsid w:val="00E46FC4"/>
    <w:rsid w:val="00E47260"/>
    <w:rsid w:val="00E472B2"/>
    <w:rsid w:val="00E4752E"/>
    <w:rsid w:val="00E47D8E"/>
    <w:rsid w:val="00E47EA4"/>
    <w:rsid w:val="00E501AF"/>
    <w:rsid w:val="00E502DA"/>
    <w:rsid w:val="00E505B3"/>
    <w:rsid w:val="00E50B11"/>
    <w:rsid w:val="00E51044"/>
    <w:rsid w:val="00E5135D"/>
    <w:rsid w:val="00E5186C"/>
    <w:rsid w:val="00E51994"/>
    <w:rsid w:val="00E519CB"/>
    <w:rsid w:val="00E51E5F"/>
    <w:rsid w:val="00E51E8F"/>
    <w:rsid w:val="00E51F51"/>
    <w:rsid w:val="00E520FF"/>
    <w:rsid w:val="00E52133"/>
    <w:rsid w:val="00E52317"/>
    <w:rsid w:val="00E5292D"/>
    <w:rsid w:val="00E529ED"/>
    <w:rsid w:val="00E52DF8"/>
    <w:rsid w:val="00E52EAC"/>
    <w:rsid w:val="00E5370F"/>
    <w:rsid w:val="00E53A80"/>
    <w:rsid w:val="00E53B94"/>
    <w:rsid w:val="00E53C46"/>
    <w:rsid w:val="00E543C6"/>
    <w:rsid w:val="00E54422"/>
    <w:rsid w:val="00E544FC"/>
    <w:rsid w:val="00E54742"/>
    <w:rsid w:val="00E5487B"/>
    <w:rsid w:val="00E54899"/>
    <w:rsid w:val="00E54945"/>
    <w:rsid w:val="00E54DD0"/>
    <w:rsid w:val="00E55FED"/>
    <w:rsid w:val="00E560DF"/>
    <w:rsid w:val="00E565A5"/>
    <w:rsid w:val="00E568CF"/>
    <w:rsid w:val="00E56C4D"/>
    <w:rsid w:val="00E5781B"/>
    <w:rsid w:val="00E5797E"/>
    <w:rsid w:val="00E60135"/>
    <w:rsid w:val="00E60530"/>
    <w:rsid w:val="00E60735"/>
    <w:rsid w:val="00E60DF3"/>
    <w:rsid w:val="00E611CA"/>
    <w:rsid w:val="00E61205"/>
    <w:rsid w:val="00E61214"/>
    <w:rsid w:val="00E61900"/>
    <w:rsid w:val="00E61ACF"/>
    <w:rsid w:val="00E61B61"/>
    <w:rsid w:val="00E61F3D"/>
    <w:rsid w:val="00E61FC7"/>
    <w:rsid w:val="00E62109"/>
    <w:rsid w:val="00E62361"/>
    <w:rsid w:val="00E6252F"/>
    <w:rsid w:val="00E62CF7"/>
    <w:rsid w:val="00E62F48"/>
    <w:rsid w:val="00E632AF"/>
    <w:rsid w:val="00E63548"/>
    <w:rsid w:val="00E6384E"/>
    <w:rsid w:val="00E63E39"/>
    <w:rsid w:val="00E64250"/>
    <w:rsid w:val="00E64284"/>
    <w:rsid w:val="00E64487"/>
    <w:rsid w:val="00E646E9"/>
    <w:rsid w:val="00E64D6D"/>
    <w:rsid w:val="00E650B9"/>
    <w:rsid w:val="00E654DB"/>
    <w:rsid w:val="00E6571E"/>
    <w:rsid w:val="00E657C4"/>
    <w:rsid w:val="00E65812"/>
    <w:rsid w:val="00E65AAD"/>
    <w:rsid w:val="00E66371"/>
    <w:rsid w:val="00E663C2"/>
    <w:rsid w:val="00E66524"/>
    <w:rsid w:val="00E66E67"/>
    <w:rsid w:val="00E672C6"/>
    <w:rsid w:val="00E672E4"/>
    <w:rsid w:val="00E673A6"/>
    <w:rsid w:val="00E674C1"/>
    <w:rsid w:val="00E67642"/>
    <w:rsid w:val="00E67933"/>
    <w:rsid w:val="00E67BC2"/>
    <w:rsid w:val="00E67F97"/>
    <w:rsid w:val="00E70732"/>
    <w:rsid w:val="00E70A7E"/>
    <w:rsid w:val="00E70C3F"/>
    <w:rsid w:val="00E712D2"/>
    <w:rsid w:val="00E71373"/>
    <w:rsid w:val="00E72093"/>
    <w:rsid w:val="00E72154"/>
    <w:rsid w:val="00E72DBB"/>
    <w:rsid w:val="00E72EAC"/>
    <w:rsid w:val="00E732C6"/>
    <w:rsid w:val="00E73BDB"/>
    <w:rsid w:val="00E74BA9"/>
    <w:rsid w:val="00E74E8A"/>
    <w:rsid w:val="00E74F7B"/>
    <w:rsid w:val="00E751A1"/>
    <w:rsid w:val="00E752CC"/>
    <w:rsid w:val="00E752D9"/>
    <w:rsid w:val="00E75666"/>
    <w:rsid w:val="00E760BE"/>
    <w:rsid w:val="00E7653E"/>
    <w:rsid w:val="00E7683A"/>
    <w:rsid w:val="00E76EB2"/>
    <w:rsid w:val="00E76F55"/>
    <w:rsid w:val="00E772FC"/>
    <w:rsid w:val="00E7744A"/>
    <w:rsid w:val="00E7746F"/>
    <w:rsid w:val="00E7787A"/>
    <w:rsid w:val="00E77E2D"/>
    <w:rsid w:val="00E8004C"/>
    <w:rsid w:val="00E80379"/>
    <w:rsid w:val="00E80A2D"/>
    <w:rsid w:val="00E80E17"/>
    <w:rsid w:val="00E811C2"/>
    <w:rsid w:val="00E814E9"/>
    <w:rsid w:val="00E817F1"/>
    <w:rsid w:val="00E8185B"/>
    <w:rsid w:val="00E818A7"/>
    <w:rsid w:val="00E818EF"/>
    <w:rsid w:val="00E8194E"/>
    <w:rsid w:val="00E81B89"/>
    <w:rsid w:val="00E81D20"/>
    <w:rsid w:val="00E820F5"/>
    <w:rsid w:val="00E824F8"/>
    <w:rsid w:val="00E82A33"/>
    <w:rsid w:val="00E82D41"/>
    <w:rsid w:val="00E83012"/>
    <w:rsid w:val="00E83110"/>
    <w:rsid w:val="00E833CA"/>
    <w:rsid w:val="00E83D1E"/>
    <w:rsid w:val="00E83D91"/>
    <w:rsid w:val="00E84289"/>
    <w:rsid w:val="00E8463C"/>
    <w:rsid w:val="00E84BCC"/>
    <w:rsid w:val="00E85403"/>
    <w:rsid w:val="00E86055"/>
    <w:rsid w:val="00E862F6"/>
    <w:rsid w:val="00E86387"/>
    <w:rsid w:val="00E86AFD"/>
    <w:rsid w:val="00E86FCC"/>
    <w:rsid w:val="00E87345"/>
    <w:rsid w:val="00E87599"/>
    <w:rsid w:val="00E8783D"/>
    <w:rsid w:val="00E87ACB"/>
    <w:rsid w:val="00E87D6B"/>
    <w:rsid w:val="00E906E1"/>
    <w:rsid w:val="00E907D6"/>
    <w:rsid w:val="00E909B2"/>
    <w:rsid w:val="00E90BC0"/>
    <w:rsid w:val="00E90E96"/>
    <w:rsid w:val="00E9134D"/>
    <w:rsid w:val="00E91732"/>
    <w:rsid w:val="00E91ABD"/>
    <w:rsid w:val="00E92088"/>
    <w:rsid w:val="00E920E2"/>
    <w:rsid w:val="00E92469"/>
    <w:rsid w:val="00E928F0"/>
    <w:rsid w:val="00E92959"/>
    <w:rsid w:val="00E93073"/>
    <w:rsid w:val="00E93298"/>
    <w:rsid w:val="00E933EE"/>
    <w:rsid w:val="00E93470"/>
    <w:rsid w:val="00E93A66"/>
    <w:rsid w:val="00E93A99"/>
    <w:rsid w:val="00E94453"/>
    <w:rsid w:val="00E94872"/>
    <w:rsid w:val="00E94950"/>
    <w:rsid w:val="00E94ADB"/>
    <w:rsid w:val="00E95140"/>
    <w:rsid w:val="00E951C2"/>
    <w:rsid w:val="00E9520B"/>
    <w:rsid w:val="00E95281"/>
    <w:rsid w:val="00E9591E"/>
    <w:rsid w:val="00E95C53"/>
    <w:rsid w:val="00E95C9E"/>
    <w:rsid w:val="00E96080"/>
    <w:rsid w:val="00E96297"/>
    <w:rsid w:val="00E964ED"/>
    <w:rsid w:val="00E96510"/>
    <w:rsid w:val="00E96ADE"/>
    <w:rsid w:val="00E96C0C"/>
    <w:rsid w:val="00E96D20"/>
    <w:rsid w:val="00E96DBF"/>
    <w:rsid w:val="00E976F0"/>
    <w:rsid w:val="00E97756"/>
    <w:rsid w:val="00EA01A8"/>
    <w:rsid w:val="00EA02FE"/>
    <w:rsid w:val="00EA0C8E"/>
    <w:rsid w:val="00EA0DCC"/>
    <w:rsid w:val="00EA0EA3"/>
    <w:rsid w:val="00EA0ECD"/>
    <w:rsid w:val="00EA13BB"/>
    <w:rsid w:val="00EA162A"/>
    <w:rsid w:val="00EA1B2D"/>
    <w:rsid w:val="00EA1D7A"/>
    <w:rsid w:val="00EA1E14"/>
    <w:rsid w:val="00EA27B2"/>
    <w:rsid w:val="00EA2A4B"/>
    <w:rsid w:val="00EA2BED"/>
    <w:rsid w:val="00EA2C3A"/>
    <w:rsid w:val="00EA2EC1"/>
    <w:rsid w:val="00EA3152"/>
    <w:rsid w:val="00EA371F"/>
    <w:rsid w:val="00EA3A44"/>
    <w:rsid w:val="00EA3A78"/>
    <w:rsid w:val="00EA4096"/>
    <w:rsid w:val="00EA40D1"/>
    <w:rsid w:val="00EA438D"/>
    <w:rsid w:val="00EA47A5"/>
    <w:rsid w:val="00EA4851"/>
    <w:rsid w:val="00EA4913"/>
    <w:rsid w:val="00EA51CD"/>
    <w:rsid w:val="00EA5345"/>
    <w:rsid w:val="00EA5352"/>
    <w:rsid w:val="00EA54B2"/>
    <w:rsid w:val="00EA55FB"/>
    <w:rsid w:val="00EA566C"/>
    <w:rsid w:val="00EA583A"/>
    <w:rsid w:val="00EA5885"/>
    <w:rsid w:val="00EA58AB"/>
    <w:rsid w:val="00EA5EC1"/>
    <w:rsid w:val="00EA682D"/>
    <w:rsid w:val="00EA6E43"/>
    <w:rsid w:val="00EA6E58"/>
    <w:rsid w:val="00EA7194"/>
    <w:rsid w:val="00EA76A8"/>
    <w:rsid w:val="00EA7777"/>
    <w:rsid w:val="00EA7E2F"/>
    <w:rsid w:val="00EB01C6"/>
    <w:rsid w:val="00EB0413"/>
    <w:rsid w:val="00EB04DC"/>
    <w:rsid w:val="00EB099A"/>
    <w:rsid w:val="00EB0B4E"/>
    <w:rsid w:val="00EB105D"/>
    <w:rsid w:val="00EB111F"/>
    <w:rsid w:val="00EB14C9"/>
    <w:rsid w:val="00EB1CE8"/>
    <w:rsid w:val="00EB1FD5"/>
    <w:rsid w:val="00EB20CC"/>
    <w:rsid w:val="00EB2305"/>
    <w:rsid w:val="00EB2370"/>
    <w:rsid w:val="00EB27BD"/>
    <w:rsid w:val="00EB2882"/>
    <w:rsid w:val="00EB2921"/>
    <w:rsid w:val="00EB2976"/>
    <w:rsid w:val="00EB2B2D"/>
    <w:rsid w:val="00EB2B33"/>
    <w:rsid w:val="00EB2B7D"/>
    <w:rsid w:val="00EB2EB5"/>
    <w:rsid w:val="00EB338F"/>
    <w:rsid w:val="00EB35ED"/>
    <w:rsid w:val="00EB3D8E"/>
    <w:rsid w:val="00EB41C8"/>
    <w:rsid w:val="00EB45A1"/>
    <w:rsid w:val="00EB4E08"/>
    <w:rsid w:val="00EB4E2B"/>
    <w:rsid w:val="00EB4E98"/>
    <w:rsid w:val="00EB4EC9"/>
    <w:rsid w:val="00EB4EDB"/>
    <w:rsid w:val="00EB5A4D"/>
    <w:rsid w:val="00EB5E3C"/>
    <w:rsid w:val="00EB5F11"/>
    <w:rsid w:val="00EB5F3D"/>
    <w:rsid w:val="00EB6006"/>
    <w:rsid w:val="00EB6282"/>
    <w:rsid w:val="00EB62A7"/>
    <w:rsid w:val="00EB6415"/>
    <w:rsid w:val="00EB6696"/>
    <w:rsid w:val="00EB6C38"/>
    <w:rsid w:val="00EB705F"/>
    <w:rsid w:val="00EB7191"/>
    <w:rsid w:val="00EB727A"/>
    <w:rsid w:val="00EB7721"/>
    <w:rsid w:val="00EB78FA"/>
    <w:rsid w:val="00EB79F9"/>
    <w:rsid w:val="00EB7EBC"/>
    <w:rsid w:val="00EC01C9"/>
    <w:rsid w:val="00EC06F8"/>
    <w:rsid w:val="00EC0C62"/>
    <w:rsid w:val="00EC0DA6"/>
    <w:rsid w:val="00EC1538"/>
    <w:rsid w:val="00EC1785"/>
    <w:rsid w:val="00EC21F4"/>
    <w:rsid w:val="00EC26AC"/>
    <w:rsid w:val="00EC2C8C"/>
    <w:rsid w:val="00EC2DE4"/>
    <w:rsid w:val="00EC3080"/>
    <w:rsid w:val="00EC3317"/>
    <w:rsid w:val="00EC353D"/>
    <w:rsid w:val="00EC3BF8"/>
    <w:rsid w:val="00EC3E69"/>
    <w:rsid w:val="00EC40B7"/>
    <w:rsid w:val="00EC434B"/>
    <w:rsid w:val="00EC437A"/>
    <w:rsid w:val="00EC47F8"/>
    <w:rsid w:val="00EC4984"/>
    <w:rsid w:val="00EC4E22"/>
    <w:rsid w:val="00EC4FC5"/>
    <w:rsid w:val="00EC50A7"/>
    <w:rsid w:val="00EC50E1"/>
    <w:rsid w:val="00EC51EC"/>
    <w:rsid w:val="00EC56A5"/>
    <w:rsid w:val="00EC56D2"/>
    <w:rsid w:val="00EC603C"/>
    <w:rsid w:val="00EC6079"/>
    <w:rsid w:val="00EC60A1"/>
    <w:rsid w:val="00EC60D8"/>
    <w:rsid w:val="00EC68DA"/>
    <w:rsid w:val="00EC6A31"/>
    <w:rsid w:val="00EC6EA8"/>
    <w:rsid w:val="00EC736B"/>
    <w:rsid w:val="00EC74B1"/>
    <w:rsid w:val="00EC750B"/>
    <w:rsid w:val="00EC75A6"/>
    <w:rsid w:val="00EC7D37"/>
    <w:rsid w:val="00ED020B"/>
    <w:rsid w:val="00ED04AB"/>
    <w:rsid w:val="00ED0C75"/>
    <w:rsid w:val="00ED132F"/>
    <w:rsid w:val="00ED1F00"/>
    <w:rsid w:val="00ED21DC"/>
    <w:rsid w:val="00ED2421"/>
    <w:rsid w:val="00ED24F2"/>
    <w:rsid w:val="00ED29C8"/>
    <w:rsid w:val="00ED2AC4"/>
    <w:rsid w:val="00ED2C2D"/>
    <w:rsid w:val="00ED2D16"/>
    <w:rsid w:val="00ED2D22"/>
    <w:rsid w:val="00ED3148"/>
    <w:rsid w:val="00ED33CD"/>
    <w:rsid w:val="00ED36C4"/>
    <w:rsid w:val="00ED39CE"/>
    <w:rsid w:val="00ED3DE0"/>
    <w:rsid w:val="00ED40E3"/>
    <w:rsid w:val="00ED413B"/>
    <w:rsid w:val="00ED415B"/>
    <w:rsid w:val="00ED4289"/>
    <w:rsid w:val="00ED4BAC"/>
    <w:rsid w:val="00ED50ED"/>
    <w:rsid w:val="00ED525F"/>
    <w:rsid w:val="00ED536D"/>
    <w:rsid w:val="00ED62A4"/>
    <w:rsid w:val="00ED63F1"/>
    <w:rsid w:val="00ED71A3"/>
    <w:rsid w:val="00ED72A7"/>
    <w:rsid w:val="00ED7344"/>
    <w:rsid w:val="00ED744C"/>
    <w:rsid w:val="00ED74C1"/>
    <w:rsid w:val="00ED7BAE"/>
    <w:rsid w:val="00ED7E4B"/>
    <w:rsid w:val="00EE0710"/>
    <w:rsid w:val="00EE093D"/>
    <w:rsid w:val="00EE118D"/>
    <w:rsid w:val="00EE1971"/>
    <w:rsid w:val="00EE1B40"/>
    <w:rsid w:val="00EE1BEE"/>
    <w:rsid w:val="00EE1D9B"/>
    <w:rsid w:val="00EE1DDC"/>
    <w:rsid w:val="00EE254F"/>
    <w:rsid w:val="00EE2C34"/>
    <w:rsid w:val="00EE3083"/>
    <w:rsid w:val="00EE31C2"/>
    <w:rsid w:val="00EE366D"/>
    <w:rsid w:val="00EE39A8"/>
    <w:rsid w:val="00EE3B89"/>
    <w:rsid w:val="00EE3BBC"/>
    <w:rsid w:val="00EE3D39"/>
    <w:rsid w:val="00EE3E9C"/>
    <w:rsid w:val="00EE4047"/>
    <w:rsid w:val="00EE4663"/>
    <w:rsid w:val="00EE4681"/>
    <w:rsid w:val="00EE4CCA"/>
    <w:rsid w:val="00EE5012"/>
    <w:rsid w:val="00EE5161"/>
    <w:rsid w:val="00EE584F"/>
    <w:rsid w:val="00EE5A3F"/>
    <w:rsid w:val="00EE60BC"/>
    <w:rsid w:val="00EE6192"/>
    <w:rsid w:val="00EE6478"/>
    <w:rsid w:val="00EE664D"/>
    <w:rsid w:val="00EE6B1C"/>
    <w:rsid w:val="00EE734F"/>
    <w:rsid w:val="00EE77B4"/>
    <w:rsid w:val="00EE780A"/>
    <w:rsid w:val="00EE79BB"/>
    <w:rsid w:val="00EE7EC4"/>
    <w:rsid w:val="00EE7EEE"/>
    <w:rsid w:val="00EF00D5"/>
    <w:rsid w:val="00EF02F8"/>
    <w:rsid w:val="00EF0451"/>
    <w:rsid w:val="00EF08F1"/>
    <w:rsid w:val="00EF0913"/>
    <w:rsid w:val="00EF0AA1"/>
    <w:rsid w:val="00EF0C73"/>
    <w:rsid w:val="00EF1986"/>
    <w:rsid w:val="00EF1BA6"/>
    <w:rsid w:val="00EF1C4E"/>
    <w:rsid w:val="00EF266A"/>
    <w:rsid w:val="00EF2F0B"/>
    <w:rsid w:val="00EF2F66"/>
    <w:rsid w:val="00EF32CA"/>
    <w:rsid w:val="00EF3873"/>
    <w:rsid w:val="00EF3B16"/>
    <w:rsid w:val="00EF3B94"/>
    <w:rsid w:val="00EF3C75"/>
    <w:rsid w:val="00EF452B"/>
    <w:rsid w:val="00EF45CA"/>
    <w:rsid w:val="00EF488D"/>
    <w:rsid w:val="00EF4907"/>
    <w:rsid w:val="00EF4C59"/>
    <w:rsid w:val="00EF5075"/>
    <w:rsid w:val="00EF5944"/>
    <w:rsid w:val="00EF59A6"/>
    <w:rsid w:val="00EF59DA"/>
    <w:rsid w:val="00EF5CC7"/>
    <w:rsid w:val="00EF6340"/>
    <w:rsid w:val="00EF6437"/>
    <w:rsid w:val="00EF65B5"/>
    <w:rsid w:val="00EF6868"/>
    <w:rsid w:val="00EF6FB7"/>
    <w:rsid w:val="00EF71E3"/>
    <w:rsid w:val="00EF7642"/>
    <w:rsid w:val="00EF7C7A"/>
    <w:rsid w:val="00F0040A"/>
    <w:rsid w:val="00F006DF"/>
    <w:rsid w:val="00F007F1"/>
    <w:rsid w:val="00F00AEE"/>
    <w:rsid w:val="00F00B2A"/>
    <w:rsid w:val="00F00D2F"/>
    <w:rsid w:val="00F0103D"/>
    <w:rsid w:val="00F01584"/>
    <w:rsid w:val="00F01C0B"/>
    <w:rsid w:val="00F023FA"/>
    <w:rsid w:val="00F02806"/>
    <w:rsid w:val="00F028E6"/>
    <w:rsid w:val="00F02AA6"/>
    <w:rsid w:val="00F03817"/>
    <w:rsid w:val="00F03DAA"/>
    <w:rsid w:val="00F03F63"/>
    <w:rsid w:val="00F04541"/>
    <w:rsid w:val="00F04920"/>
    <w:rsid w:val="00F04D8A"/>
    <w:rsid w:val="00F04F48"/>
    <w:rsid w:val="00F05341"/>
    <w:rsid w:val="00F0543A"/>
    <w:rsid w:val="00F0588D"/>
    <w:rsid w:val="00F05976"/>
    <w:rsid w:val="00F05DCC"/>
    <w:rsid w:val="00F05DD7"/>
    <w:rsid w:val="00F05FC8"/>
    <w:rsid w:val="00F060AE"/>
    <w:rsid w:val="00F060CA"/>
    <w:rsid w:val="00F06851"/>
    <w:rsid w:val="00F0688A"/>
    <w:rsid w:val="00F06B1D"/>
    <w:rsid w:val="00F06EFE"/>
    <w:rsid w:val="00F06FE3"/>
    <w:rsid w:val="00F0718C"/>
    <w:rsid w:val="00F072D7"/>
    <w:rsid w:val="00F0762B"/>
    <w:rsid w:val="00F07925"/>
    <w:rsid w:val="00F079E7"/>
    <w:rsid w:val="00F07C38"/>
    <w:rsid w:val="00F1036D"/>
    <w:rsid w:val="00F104BC"/>
    <w:rsid w:val="00F10526"/>
    <w:rsid w:val="00F105FD"/>
    <w:rsid w:val="00F10D6C"/>
    <w:rsid w:val="00F10EB7"/>
    <w:rsid w:val="00F112DE"/>
    <w:rsid w:val="00F113D6"/>
    <w:rsid w:val="00F116C5"/>
    <w:rsid w:val="00F11844"/>
    <w:rsid w:val="00F119CE"/>
    <w:rsid w:val="00F119E7"/>
    <w:rsid w:val="00F11ECE"/>
    <w:rsid w:val="00F1214D"/>
    <w:rsid w:val="00F12336"/>
    <w:rsid w:val="00F12FA5"/>
    <w:rsid w:val="00F130FC"/>
    <w:rsid w:val="00F1346A"/>
    <w:rsid w:val="00F13A5B"/>
    <w:rsid w:val="00F13A9C"/>
    <w:rsid w:val="00F13DE2"/>
    <w:rsid w:val="00F13E53"/>
    <w:rsid w:val="00F1453F"/>
    <w:rsid w:val="00F14583"/>
    <w:rsid w:val="00F1492D"/>
    <w:rsid w:val="00F15081"/>
    <w:rsid w:val="00F1529A"/>
    <w:rsid w:val="00F15780"/>
    <w:rsid w:val="00F15A06"/>
    <w:rsid w:val="00F16109"/>
    <w:rsid w:val="00F1669C"/>
    <w:rsid w:val="00F16933"/>
    <w:rsid w:val="00F16994"/>
    <w:rsid w:val="00F169DD"/>
    <w:rsid w:val="00F16AE0"/>
    <w:rsid w:val="00F16EC7"/>
    <w:rsid w:val="00F16F9C"/>
    <w:rsid w:val="00F17050"/>
    <w:rsid w:val="00F17337"/>
    <w:rsid w:val="00F17B4D"/>
    <w:rsid w:val="00F17DDF"/>
    <w:rsid w:val="00F17F5A"/>
    <w:rsid w:val="00F20AB6"/>
    <w:rsid w:val="00F216D8"/>
    <w:rsid w:val="00F219C8"/>
    <w:rsid w:val="00F21EF0"/>
    <w:rsid w:val="00F22A8E"/>
    <w:rsid w:val="00F231BB"/>
    <w:rsid w:val="00F231DE"/>
    <w:rsid w:val="00F2352B"/>
    <w:rsid w:val="00F240D9"/>
    <w:rsid w:val="00F24360"/>
    <w:rsid w:val="00F245AB"/>
    <w:rsid w:val="00F2476C"/>
    <w:rsid w:val="00F24FE5"/>
    <w:rsid w:val="00F250FF"/>
    <w:rsid w:val="00F25317"/>
    <w:rsid w:val="00F25761"/>
    <w:rsid w:val="00F25C66"/>
    <w:rsid w:val="00F25D92"/>
    <w:rsid w:val="00F261CA"/>
    <w:rsid w:val="00F2669E"/>
    <w:rsid w:val="00F26807"/>
    <w:rsid w:val="00F26A5F"/>
    <w:rsid w:val="00F26DD5"/>
    <w:rsid w:val="00F26F54"/>
    <w:rsid w:val="00F27375"/>
    <w:rsid w:val="00F274AA"/>
    <w:rsid w:val="00F274D2"/>
    <w:rsid w:val="00F27582"/>
    <w:rsid w:val="00F303C0"/>
    <w:rsid w:val="00F3071A"/>
    <w:rsid w:val="00F310D1"/>
    <w:rsid w:val="00F317D8"/>
    <w:rsid w:val="00F3185B"/>
    <w:rsid w:val="00F31863"/>
    <w:rsid w:val="00F3279A"/>
    <w:rsid w:val="00F3302C"/>
    <w:rsid w:val="00F33241"/>
    <w:rsid w:val="00F333BF"/>
    <w:rsid w:val="00F334A6"/>
    <w:rsid w:val="00F33642"/>
    <w:rsid w:val="00F337EE"/>
    <w:rsid w:val="00F3388B"/>
    <w:rsid w:val="00F338E9"/>
    <w:rsid w:val="00F33A9B"/>
    <w:rsid w:val="00F340C4"/>
    <w:rsid w:val="00F34275"/>
    <w:rsid w:val="00F345BD"/>
    <w:rsid w:val="00F34618"/>
    <w:rsid w:val="00F34D8F"/>
    <w:rsid w:val="00F350BC"/>
    <w:rsid w:val="00F350BD"/>
    <w:rsid w:val="00F35378"/>
    <w:rsid w:val="00F3554E"/>
    <w:rsid w:val="00F358A8"/>
    <w:rsid w:val="00F3593D"/>
    <w:rsid w:val="00F35A16"/>
    <w:rsid w:val="00F35FA4"/>
    <w:rsid w:val="00F35FAB"/>
    <w:rsid w:val="00F36220"/>
    <w:rsid w:val="00F364DA"/>
    <w:rsid w:val="00F36748"/>
    <w:rsid w:val="00F36C91"/>
    <w:rsid w:val="00F36FA5"/>
    <w:rsid w:val="00F36FF7"/>
    <w:rsid w:val="00F3700E"/>
    <w:rsid w:val="00F372CC"/>
    <w:rsid w:val="00F37863"/>
    <w:rsid w:val="00F37911"/>
    <w:rsid w:val="00F3795E"/>
    <w:rsid w:val="00F37B04"/>
    <w:rsid w:val="00F37BF1"/>
    <w:rsid w:val="00F37CA6"/>
    <w:rsid w:val="00F37D63"/>
    <w:rsid w:val="00F40206"/>
    <w:rsid w:val="00F40661"/>
    <w:rsid w:val="00F406E2"/>
    <w:rsid w:val="00F40A79"/>
    <w:rsid w:val="00F41247"/>
    <w:rsid w:val="00F412BC"/>
    <w:rsid w:val="00F4150A"/>
    <w:rsid w:val="00F41995"/>
    <w:rsid w:val="00F41AEE"/>
    <w:rsid w:val="00F41BE4"/>
    <w:rsid w:val="00F41D9B"/>
    <w:rsid w:val="00F41DEF"/>
    <w:rsid w:val="00F41EAC"/>
    <w:rsid w:val="00F42262"/>
    <w:rsid w:val="00F42434"/>
    <w:rsid w:val="00F426A2"/>
    <w:rsid w:val="00F4279E"/>
    <w:rsid w:val="00F427DA"/>
    <w:rsid w:val="00F42903"/>
    <w:rsid w:val="00F42912"/>
    <w:rsid w:val="00F42BA9"/>
    <w:rsid w:val="00F432C4"/>
    <w:rsid w:val="00F437EA"/>
    <w:rsid w:val="00F43EAF"/>
    <w:rsid w:val="00F4438C"/>
    <w:rsid w:val="00F449F9"/>
    <w:rsid w:val="00F45024"/>
    <w:rsid w:val="00F450E6"/>
    <w:rsid w:val="00F455EB"/>
    <w:rsid w:val="00F4564F"/>
    <w:rsid w:val="00F45841"/>
    <w:rsid w:val="00F45E63"/>
    <w:rsid w:val="00F461A5"/>
    <w:rsid w:val="00F4635C"/>
    <w:rsid w:val="00F464C6"/>
    <w:rsid w:val="00F467F6"/>
    <w:rsid w:val="00F4680A"/>
    <w:rsid w:val="00F46E50"/>
    <w:rsid w:val="00F46E6C"/>
    <w:rsid w:val="00F475DD"/>
    <w:rsid w:val="00F47887"/>
    <w:rsid w:val="00F4792A"/>
    <w:rsid w:val="00F47E86"/>
    <w:rsid w:val="00F5046A"/>
    <w:rsid w:val="00F50ACA"/>
    <w:rsid w:val="00F50B5F"/>
    <w:rsid w:val="00F50CF1"/>
    <w:rsid w:val="00F50DFB"/>
    <w:rsid w:val="00F510A6"/>
    <w:rsid w:val="00F519AA"/>
    <w:rsid w:val="00F52003"/>
    <w:rsid w:val="00F52249"/>
    <w:rsid w:val="00F522B7"/>
    <w:rsid w:val="00F524D6"/>
    <w:rsid w:val="00F53012"/>
    <w:rsid w:val="00F5315D"/>
    <w:rsid w:val="00F5318A"/>
    <w:rsid w:val="00F53394"/>
    <w:rsid w:val="00F53D46"/>
    <w:rsid w:val="00F544E0"/>
    <w:rsid w:val="00F54504"/>
    <w:rsid w:val="00F54511"/>
    <w:rsid w:val="00F545B2"/>
    <w:rsid w:val="00F54E13"/>
    <w:rsid w:val="00F54E4E"/>
    <w:rsid w:val="00F55217"/>
    <w:rsid w:val="00F55267"/>
    <w:rsid w:val="00F55919"/>
    <w:rsid w:val="00F55940"/>
    <w:rsid w:val="00F55ACA"/>
    <w:rsid w:val="00F55CE7"/>
    <w:rsid w:val="00F56242"/>
    <w:rsid w:val="00F56EA4"/>
    <w:rsid w:val="00F5723D"/>
    <w:rsid w:val="00F5769D"/>
    <w:rsid w:val="00F6016B"/>
    <w:rsid w:val="00F6023F"/>
    <w:rsid w:val="00F60336"/>
    <w:rsid w:val="00F6033D"/>
    <w:rsid w:val="00F604E6"/>
    <w:rsid w:val="00F60AF5"/>
    <w:rsid w:val="00F60BFF"/>
    <w:rsid w:val="00F60DDF"/>
    <w:rsid w:val="00F60E13"/>
    <w:rsid w:val="00F6126E"/>
    <w:rsid w:val="00F61735"/>
    <w:rsid w:val="00F61745"/>
    <w:rsid w:val="00F61791"/>
    <w:rsid w:val="00F6181B"/>
    <w:rsid w:val="00F61841"/>
    <w:rsid w:val="00F619B4"/>
    <w:rsid w:val="00F61C5C"/>
    <w:rsid w:val="00F62442"/>
    <w:rsid w:val="00F6250A"/>
    <w:rsid w:val="00F625AB"/>
    <w:rsid w:val="00F62C94"/>
    <w:rsid w:val="00F632CB"/>
    <w:rsid w:val="00F63386"/>
    <w:rsid w:val="00F6354D"/>
    <w:rsid w:val="00F635E6"/>
    <w:rsid w:val="00F63668"/>
    <w:rsid w:val="00F636B6"/>
    <w:rsid w:val="00F639E2"/>
    <w:rsid w:val="00F63C7F"/>
    <w:rsid w:val="00F63C94"/>
    <w:rsid w:val="00F64182"/>
    <w:rsid w:val="00F64452"/>
    <w:rsid w:val="00F64BD0"/>
    <w:rsid w:val="00F64C8E"/>
    <w:rsid w:val="00F65408"/>
    <w:rsid w:val="00F654EB"/>
    <w:rsid w:val="00F659E6"/>
    <w:rsid w:val="00F65F76"/>
    <w:rsid w:val="00F661D1"/>
    <w:rsid w:val="00F66446"/>
    <w:rsid w:val="00F66873"/>
    <w:rsid w:val="00F66CFB"/>
    <w:rsid w:val="00F6751B"/>
    <w:rsid w:val="00F675F1"/>
    <w:rsid w:val="00F67BC2"/>
    <w:rsid w:val="00F67E83"/>
    <w:rsid w:val="00F70216"/>
    <w:rsid w:val="00F70A16"/>
    <w:rsid w:val="00F70A83"/>
    <w:rsid w:val="00F70B9F"/>
    <w:rsid w:val="00F70E06"/>
    <w:rsid w:val="00F70F51"/>
    <w:rsid w:val="00F71657"/>
    <w:rsid w:val="00F71833"/>
    <w:rsid w:val="00F71B04"/>
    <w:rsid w:val="00F7207E"/>
    <w:rsid w:val="00F724AD"/>
    <w:rsid w:val="00F72539"/>
    <w:rsid w:val="00F72650"/>
    <w:rsid w:val="00F726BC"/>
    <w:rsid w:val="00F726DA"/>
    <w:rsid w:val="00F72850"/>
    <w:rsid w:val="00F72A90"/>
    <w:rsid w:val="00F72BF2"/>
    <w:rsid w:val="00F72D01"/>
    <w:rsid w:val="00F7340E"/>
    <w:rsid w:val="00F73432"/>
    <w:rsid w:val="00F73985"/>
    <w:rsid w:val="00F73BE8"/>
    <w:rsid w:val="00F73C40"/>
    <w:rsid w:val="00F740E6"/>
    <w:rsid w:val="00F742BD"/>
    <w:rsid w:val="00F74882"/>
    <w:rsid w:val="00F74D5E"/>
    <w:rsid w:val="00F74DDE"/>
    <w:rsid w:val="00F754F9"/>
    <w:rsid w:val="00F75768"/>
    <w:rsid w:val="00F757DC"/>
    <w:rsid w:val="00F7616B"/>
    <w:rsid w:val="00F766A7"/>
    <w:rsid w:val="00F76B3F"/>
    <w:rsid w:val="00F76FCC"/>
    <w:rsid w:val="00F7740E"/>
    <w:rsid w:val="00F775E0"/>
    <w:rsid w:val="00F7779A"/>
    <w:rsid w:val="00F77F2F"/>
    <w:rsid w:val="00F8068F"/>
    <w:rsid w:val="00F8091E"/>
    <w:rsid w:val="00F8095D"/>
    <w:rsid w:val="00F80964"/>
    <w:rsid w:val="00F809DD"/>
    <w:rsid w:val="00F80A5F"/>
    <w:rsid w:val="00F80F41"/>
    <w:rsid w:val="00F810CB"/>
    <w:rsid w:val="00F81250"/>
    <w:rsid w:val="00F8156A"/>
    <w:rsid w:val="00F816AD"/>
    <w:rsid w:val="00F81D80"/>
    <w:rsid w:val="00F82043"/>
    <w:rsid w:val="00F821F5"/>
    <w:rsid w:val="00F82227"/>
    <w:rsid w:val="00F8263D"/>
    <w:rsid w:val="00F826E1"/>
    <w:rsid w:val="00F827F2"/>
    <w:rsid w:val="00F82812"/>
    <w:rsid w:val="00F82815"/>
    <w:rsid w:val="00F82E0F"/>
    <w:rsid w:val="00F82F28"/>
    <w:rsid w:val="00F830F0"/>
    <w:rsid w:val="00F8351D"/>
    <w:rsid w:val="00F835EC"/>
    <w:rsid w:val="00F836DD"/>
    <w:rsid w:val="00F8378C"/>
    <w:rsid w:val="00F83983"/>
    <w:rsid w:val="00F83C7A"/>
    <w:rsid w:val="00F83F17"/>
    <w:rsid w:val="00F8404E"/>
    <w:rsid w:val="00F84091"/>
    <w:rsid w:val="00F846AC"/>
    <w:rsid w:val="00F84918"/>
    <w:rsid w:val="00F84DD9"/>
    <w:rsid w:val="00F85C10"/>
    <w:rsid w:val="00F85C24"/>
    <w:rsid w:val="00F85C9D"/>
    <w:rsid w:val="00F85DA2"/>
    <w:rsid w:val="00F8630F"/>
    <w:rsid w:val="00F8716F"/>
    <w:rsid w:val="00F8736F"/>
    <w:rsid w:val="00F873A6"/>
    <w:rsid w:val="00F8740C"/>
    <w:rsid w:val="00F87641"/>
    <w:rsid w:val="00F87A78"/>
    <w:rsid w:val="00F87AE0"/>
    <w:rsid w:val="00F87D79"/>
    <w:rsid w:val="00F901D2"/>
    <w:rsid w:val="00F9023C"/>
    <w:rsid w:val="00F90337"/>
    <w:rsid w:val="00F90417"/>
    <w:rsid w:val="00F907BC"/>
    <w:rsid w:val="00F90873"/>
    <w:rsid w:val="00F90B91"/>
    <w:rsid w:val="00F90D65"/>
    <w:rsid w:val="00F90FBA"/>
    <w:rsid w:val="00F9127B"/>
    <w:rsid w:val="00F912FD"/>
    <w:rsid w:val="00F91658"/>
    <w:rsid w:val="00F91D5B"/>
    <w:rsid w:val="00F91DC0"/>
    <w:rsid w:val="00F9239E"/>
    <w:rsid w:val="00F92A4C"/>
    <w:rsid w:val="00F92F93"/>
    <w:rsid w:val="00F9301F"/>
    <w:rsid w:val="00F93156"/>
    <w:rsid w:val="00F93326"/>
    <w:rsid w:val="00F9343D"/>
    <w:rsid w:val="00F934F3"/>
    <w:rsid w:val="00F935F5"/>
    <w:rsid w:val="00F93BE6"/>
    <w:rsid w:val="00F93C4D"/>
    <w:rsid w:val="00F94099"/>
    <w:rsid w:val="00F943E8"/>
    <w:rsid w:val="00F94A1E"/>
    <w:rsid w:val="00F95984"/>
    <w:rsid w:val="00F96168"/>
    <w:rsid w:val="00F96C9C"/>
    <w:rsid w:val="00F97038"/>
    <w:rsid w:val="00F97120"/>
    <w:rsid w:val="00F97518"/>
    <w:rsid w:val="00F9765C"/>
    <w:rsid w:val="00F97D32"/>
    <w:rsid w:val="00F97D55"/>
    <w:rsid w:val="00F97DB8"/>
    <w:rsid w:val="00F97F26"/>
    <w:rsid w:val="00FA046A"/>
    <w:rsid w:val="00FA0C08"/>
    <w:rsid w:val="00FA110F"/>
    <w:rsid w:val="00FA1325"/>
    <w:rsid w:val="00FA1411"/>
    <w:rsid w:val="00FA17AF"/>
    <w:rsid w:val="00FA1F31"/>
    <w:rsid w:val="00FA1FA2"/>
    <w:rsid w:val="00FA24BF"/>
    <w:rsid w:val="00FA28E3"/>
    <w:rsid w:val="00FA28F4"/>
    <w:rsid w:val="00FA29B9"/>
    <w:rsid w:val="00FA2A16"/>
    <w:rsid w:val="00FA2F32"/>
    <w:rsid w:val="00FA31E7"/>
    <w:rsid w:val="00FA3229"/>
    <w:rsid w:val="00FA3EF9"/>
    <w:rsid w:val="00FA3F03"/>
    <w:rsid w:val="00FA3F17"/>
    <w:rsid w:val="00FA4185"/>
    <w:rsid w:val="00FA433E"/>
    <w:rsid w:val="00FA478A"/>
    <w:rsid w:val="00FA4B15"/>
    <w:rsid w:val="00FA4E20"/>
    <w:rsid w:val="00FA506F"/>
    <w:rsid w:val="00FA52E5"/>
    <w:rsid w:val="00FA5423"/>
    <w:rsid w:val="00FA544A"/>
    <w:rsid w:val="00FA546B"/>
    <w:rsid w:val="00FA5BF2"/>
    <w:rsid w:val="00FA5D84"/>
    <w:rsid w:val="00FA63D2"/>
    <w:rsid w:val="00FA6DA3"/>
    <w:rsid w:val="00FA6ED0"/>
    <w:rsid w:val="00FA6F5B"/>
    <w:rsid w:val="00FA6FF9"/>
    <w:rsid w:val="00FA706A"/>
    <w:rsid w:val="00FA724A"/>
    <w:rsid w:val="00FA73E5"/>
    <w:rsid w:val="00FA741B"/>
    <w:rsid w:val="00FA7904"/>
    <w:rsid w:val="00FA79B0"/>
    <w:rsid w:val="00FA7A23"/>
    <w:rsid w:val="00FA7C67"/>
    <w:rsid w:val="00FA7DDC"/>
    <w:rsid w:val="00FB00BB"/>
    <w:rsid w:val="00FB0586"/>
    <w:rsid w:val="00FB0F0A"/>
    <w:rsid w:val="00FB1182"/>
    <w:rsid w:val="00FB15B8"/>
    <w:rsid w:val="00FB192D"/>
    <w:rsid w:val="00FB1AF0"/>
    <w:rsid w:val="00FB200C"/>
    <w:rsid w:val="00FB241C"/>
    <w:rsid w:val="00FB2977"/>
    <w:rsid w:val="00FB2DCF"/>
    <w:rsid w:val="00FB31A5"/>
    <w:rsid w:val="00FB3748"/>
    <w:rsid w:val="00FB37A6"/>
    <w:rsid w:val="00FB37DC"/>
    <w:rsid w:val="00FB3A53"/>
    <w:rsid w:val="00FB3E7E"/>
    <w:rsid w:val="00FB4070"/>
    <w:rsid w:val="00FB424D"/>
    <w:rsid w:val="00FB481F"/>
    <w:rsid w:val="00FB49C4"/>
    <w:rsid w:val="00FB4B0F"/>
    <w:rsid w:val="00FB4CC4"/>
    <w:rsid w:val="00FB4D3A"/>
    <w:rsid w:val="00FB4DD5"/>
    <w:rsid w:val="00FB582B"/>
    <w:rsid w:val="00FB5C86"/>
    <w:rsid w:val="00FB60A0"/>
    <w:rsid w:val="00FB6119"/>
    <w:rsid w:val="00FB642B"/>
    <w:rsid w:val="00FB68BC"/>
    <w:rsid w:val="00FB6F9C"/>
    <w:rsid w:val="00FB713A"/>
    <w:rsid w:val="00FB767F"/>
    <w:rsid w:val="00FB7790"/>
    <w:rsid w:val="00FC0419"/>
    <w:rsid w:val="00FC050E"/>
    <w:rsid w:val="00FC0885"/>
    <w:rsid w:val="00FC0957"/>
    <w:rsid w:val="00FC0BDF"/>
    <w:rsid w:val="00FC0E68"/>
    <w:rsid w:val="00FC103D"/>
    <w:rsid w:val="00FC13C6"/>
    <w:rsid w:val="00FC13D9"/>
    <w:rsid w:val="00FC1539"/>
    <w:rsid w:val="00FC15A3"/>
    <w:rsid w:val="00FC15D7"/>
    <w:rsid w:val="00FC15F3"/>
    <w:rsid w:val="00FC161D"/>
    <w:rsid w:val="00FC1948"/>
    <w:rsid w:val="00FC2099"/>
    <w:rsid w:val="00FC21C9"/>
    <w:rsid w:val="00FC23BE"/>
    <w:rsid w:val="00FC2C4B"/>
    <w:rsid w:val="00FC2D66"/>
    <w:rsid w:val="00FC2F34"/>
    <w:rsid w:val="00FC3060"/>
    <w:rsid w:val="00FC307B"/>
    <w:rsid w:val="00FC30EE"/>
    <w:rsid w:val="00FC3225"/>
    <w:rsid w:val="00FC39BD"/>
    <w:rsid w:val="00FC3E24"/>
    <w:rsid w:val="00FC41DE"/>
    <w:rsid w:val="00FC4322"/>
    <w:rsid w:val="00FC452C"/>
    <w:rsid w:val="00FC4982"/>
    <w:rsid w:val="00FC4C6E"/>
    <w:rsid w:val="00FC4CF8"/>
    <w:rsid w:val="00FC4D7B"/>
    <w:rsid w:val="00FC55DD"/>
    <w:rsid w:val="00FC584F"/>
    <w:rsid w:val="00FC5D4C"/>
    <w:rsid w:val="00FC5F11"/>
    <w:rsid w:val="00FC60C9"/>
    <w:rsid w:val="00FC6101"/>
    <w:rsid w:val="00FC6239"/>
    <w:rsid w:val="00FC6262"/>
    <w:rsid w:val="00FC6525"/>
    <w:rsid w:val="00FC678A"/>
    <w:rsid w:val="00FC697D"/>
    <w:rsid w:val="00FC6C6C"/>
    <w:rsid w:val="00FC6DA1"/>
    <w:rsid w:val="00FC6EE9"/>
    <w:rsid w:val="00FC6FFF"/>
    <w:rsid w:val="00FC74B1"/>
    <w:rsid w:val="00FC7665"/>
    <w:rsid w:val="00FC7896"/>
    <w:rsid w:val="00FD0324"/>
    <w:rsid w:val="00FD062C"/>
    <w:rsid w:val="00FD066B"/>
    <w:rsid w:val="00FD0C5F"/>
    <w:rsid w:val="00FD0D1A"/>
    <w:rsid w:val="00FD0DF2"/>
    <w:rsid w:val="00FD16D9"/>
    <w:rsid w:val="00FD175F"/>
    <w:rsid w:val="00FD19B3"/>
    <w:rsid w:val="00FD1A74"/>
    <w:rsid w:val="00FD1CBA"/>
    <w:rsid w:val="00FD2192"/>
    <w:rsid w:val="00FD2322"/>
    <w:rsid w:val="00FD25F4"/>
    <w:rsid w:val="00FD2BC0"/>
    <w:rsid w:val="00FD2EEB"/>
    <w:rsid w:val="00FD2F6C"/>
    <w:rsid w:val="00FD3067"/>
    <w:rsid w:val="00FD312A"/>
    <w:rsid w:val="00FD32A0"/>
    <w:rsid w:val="00FD3567"/>
    <w:rsid w:val="00FD378A"/>
    <w:rsid w:val="00FD3D51"/>
    <w:rsid w:val="00FD45B9"/>
    <w:rsid w:val="00FD4AC7"/>
    <w:rsid w:val="00FD4D56"/>
    <w:rsid w:val="00FD52D3"/>
    <w:rsid w:val="00FD55C7"/>
    <w:rsid w:val="00FD62EB"/>
    <w:rsid w:val="00FD63B4"/>
    <w:rsid w:val="00FD6C8C"/>
    <w:rsid w:val="00FD6E86"/>
    <w:rsid w:val="00FD7037"/>
    <w:rsid w:val="00FD71E3"/>
    <w:rsid w:val="00FD730D"/>
    <w:rsid w:val="00FD7EFD"/>
    <w:rsid w:val="00FE041C"/>
    <w:rsid w:val="00FE08B0"/>
    <w:rsid w:val="00FE0D88"/>
    <w:rsid w:val="00FE1AB9"/>
    <w:rsid w:val="00FE1AF7"/>
    <w:rsid w:val="00FE1B3E"/>
    <w:rsid w:val="00FE1BB2"/>
    <w:rsid w:val="00FE1FBE"/>
    <w:rsid w:val="00FE2027"/>
    <w:rsid w:val="00FE2821"/>
    <w:rsid w:val="00FE2915"/>
    <w:rsid w:val="00FE29F5"/>
    <w:rsid w:val="00FE2D7D"/>
    <w:rsid w:val="00FE3297"/>
    <w:rsid w:val="00FE32DA"/>
    <w:rsid w:val="00FE34CB"/>
    <w:rsid w:val="00FE35F3"/>
    <w:rsid w:val="00FE36BF"/>
    <w:rsid w:val="00FE3883"/>
    <w:rsid w:val="00FE38EB"/>
    <w:rsid w:val="00FE3DF4"/>
    <w:rsid w:val="00FE3E64"/>
    <w:rsid w:val="00FE4180"/>
    <w:rsid w:val="00FE421B"/>
    <w:rsid w:val="00FE43F5"/>
    <w:rsid w:val="00FE452D"/>
    <w:rsid w:val="00FE4560"/>
    <w:rsid w:val="00FE4A4E"/>
    <w:rsid w:val="00FE4B6D"/>
    <w:rsid w:val="00FE4D99"/>
    <w:rsid w:val="00FE4FFB"/>
    <w:rsid w:val="00FE50E7"/>
    <w:rsid w:val="00FE52F0"/>
    <w:rsid w:val="00FE56D9"/>
    <w:rsid w:val="00FE628D"/>
    <w:rsid w:val="00FE6A04"/>
    <w:rsid w:val="00FE6B8B"/>
    <w:rsid w:val="00FE6D59"/>
    <w:rsid w:val="00FE6F66"/>
    <w:rsid w:val="00FE71BC"/>
    <w:rsid w:val="00FE7697"/>
    <w:rsid w:val="00FE7718"/>
    <w:rsid w:val="00FE77B8"/>
    <w:rsid w:val="00FE7939"/>
    <w:rsid w:val="00FE7F04"/>
    <w:rsid w:val="00FE7F44"/>
    <w:rsid w:val="00FF05BB"/>
    <w:rsid w:val="00FF093D"/>
    <w:rsid w:val="00FF0A1B"/>
    <w:rsid w:val="00FF119F"/>
    <w:rsid w:val="00FF169D"/>
    <w:rsid w:val="00FF1920"/>
    <w:rsid w:val="00FF1ACF"/>
    <w:rsid w:val="00FF1E27"/>
    <w:rsid w:val="00FF1FB4"/>
    <w:rsid w:val="00FF22EF"/>
    <w:rsid w:val="00FF26FC"/>
    <w:rsid w:val="00FF27EC"/>
    <w:rsid w:val="00FF2878"/>
    <w:rsid w:val="00FF29C9"/>
    <w:rsid w:val="00FF2AAC"/>
    <w:rsid w:val="00FF2BD3"/>
    <w:rsid w:val="00FF2C3E"/>
    <w:rsid w:val="00FF2D4A"/>
    <w:rsid w:val="00FF3021"/>
    <w:rsid w:val="00FF347C"/>
    <w:rsid w:val="00FF354A"/>
    <w:rsid w:val="00FF3BBD"/>
    <w:rsid w:val="00FF4082"/>
    <w:rsid w:val="00FF40A3"/>
    <w:rsid w:val="00FF4257"/>
    <w:rsid w:val="00FF4BC5"/>
    <w:rsid w:val="00FF4C1D"/>
    <w:rsid w:val="00FF4DB9"/>
    <w:rsid w:val="00FF4EFA"/>
    <w:rsid w:val="00FF4F02"/>
    <w:rsid w:val="00FF5258"/>
    <w:rsid w:val="00FF53FF"/>
    <w:rsid w:val="00FF56EE"/>
    <w:rsid w:val="00FF573C"/>
    <w:rsid w:val="00FF5BC6"/>
    <w:rsid w:val="00FF69C0"/>
    <w:rsid w:val="00FF6ADC"/>
    <w:rsid w:val="00FF6D3A"/>
    <w:rsid w:val="00FF6E19"/>
    <w:rsid w:val="00FF6E22"/>
    <w:rsid w:val="00FF6ECB"/>
    <w:rsid w:val="00FF6EF1"/>
    <w:rsid w:val="00FF7090"/>
    <w:rsid w:val="00FF7678"/>
    <w:rsid w:val="00FF78AA"/>
    <w:rsid w:val="00FF7A24"/>
    <w:rsid w:val="00FF7E63"/>
    <w:rsid w:val="00FF7F9A"/>
    <w:rsid w:val="0627A828"/>
    <w:rsid w:val="0E43816E"/>
    <w:rsid w:val="11C3F074"/>
    <w:rsid w:val="1340A156"/>
    <w:rsid w:val="155A445C"/>
    <w:rsid w:val="20044819"/>
    <w:rsid w:val="2319842A"/>
    <w:rsid w:val="262EAA11"/>
    <w:rsid w:val="27138A32"/>
    <w:rsid w:val="28C99087"/>
    <w:rsid w:val="2C23268B"/>
    <w:rsid w:val="30DB94A6"/>
    <w:rsid w:val="37028E8F"/>
    <w:rsid w:val="3BD88232"/>
    <w:rsid w:val="472D2217"/>
    <w:rsid w:val="593143B7"/>
    <w:rsid w:val="60EAC431"/>
    <w:rsid w:val="6278444C"/>
    <w:rsid w:val="6612222B"/>
    <w:rsid w:val="66F5D09B"/>
    <w:rsid w:val="68C83E0A"/>
    <w:rsid w:val="6AFE3BDA"/>
    <w:rsid w:val="6D0F6128"/>
    <w:rsid w:val="703E55F3"/>
    <w:rsid w:val="78319706"/>
    <w:rsid w:val="7875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16C4"/>
  <w15:chartTrackingRefBased/>
  <w15:docId w15:val="{D39C11D4-0312-49C3-A591-790159F9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93D"/>
    <w:pPr>
      <w:spacing w:after="240" w:line="240" w:lineRule="auto"/>
      <w:outlineLvl w:val="0"/>
    </w:pPr>
    <w:rPr>
      <w:rFonts w:ascii="Times New Roman" w:hAnsi="Times New Roman" w:cs="Times New Roman"/>
      <w:b/>
      <w:bCs/>
      <w:caps/>
    </w:rPr>
  </w:style>
  <w:style w:type="paragraph" w:styleId="Heading2">
    <w:name w:val="heading 2"/>
    <w:basedOn w:val="Heading1"/>
    <w:next w:val="Normal"/>
    <w:link w:val="Heading2Char"/>
    <w:uiPriority w:val="9"/>
    <w:unhideWhenUsed/>
    <w:qFormat/>
    <w:rsid w:val="0017193D"/>
    <w:pPr>
      <w:numPr>
        <w:numId w:val="28"/>
      </w:numPr>
      <w:outlineLvl w:val="1"/>
    </w:pPr>
    <w:rPr>
      <w:caps w:val="0"/>
      <w:smallCaps/>
    </w:rPr>
  </w:style>
  <w:style w:type="paragraph" w:styleId="Heading3">
    <w:name w:val="heading 3"/>
    <w:basedOn w:val="Normal"/>
    <w:next w:val="Normal"/>
    <w:link w:val="Heading3Char"/>
    <w:uiPriority w:val="9"/>
    <w:unhideWhenUsed/>
    <w:qFormat/>
    <w:rsid w:val="00A2321B"/>
    <w:pPr>
      <w:keepNext/>
      <w:keepLines/>
      <w:numPr>
        <w:numId w:val="29"/>
      </w:numPr>
      <w:spacing w:after="240" w:line="240" w:lineRule="auto"/>
      <w:outlineLvl w:val="2"/>
    </w:pPr>
    <w:rPr>
      <w:rFonts w:ascii="Times New Roman" w:eastAsiaTheme="majorEastAsia" w:hAnsi="Times New Roman" w:cstheme="majorBidi"/>
      <w:b/>
      <w:szCs w:val="24"/>
    </w:rPr>
  </w:style>
  <w:style w:type="paragraph" w:styleId="Heading4">
    <w:name w:val="heading 4"/>
    <w:basedOn w:val="ListParagraph"/>
    <w:next w:val="Normal"/>
    <w:link w:val="Heading4Char"/>
    <w:uiPriority w:val="9"/>
    <w:unhideWhenUsed/>
    <w:qFormat/>
    <w:rsid w:val="00A2321B"/>
    <w:pPr>
      <w:numPr>
        <w:numId w:val="27"/>
      </w:numPr>
      <w:spacing w:after="240"/>
      <w:outlineLvl w:val="3"/>
    </w:pPr>
    <w:rPr>
      <w:rFonts w:ascii="Times New Roman" w:hAnsi="Times New Roman" w:cs="Times New Roman"/>
      <w:i/>
      <w:iCs/>
      <w:sz w:val="22"/>
      <w:szCs w:val="22"/>
    </w:rPr>
  </w:style>
  <w:style w:type="paragraph" w:styleId="Heading5">
    <w:name w:val="heading 5"/>
    <w:basedOn w:val="ListParagraph"/>
    <w:next w:val="Normal"/>
    <w:link w:val="Heading5Char"/>
    <w:uiPriority w:val="9"/>
    <w:unhideWhenUsed/>
    <w:qFormat/>
    <w:rsid w:val="00096DD0"/>
    <w:pPr>
      <w:widowControl w:val="0"/>
      <w:numPr>
        <w:numId w:val="53"/>
      </w:numPr>
      <w:spacing w:after="240"/>
      <w:ind w:left="2160"/>
      <w:contextualSpacing w:val="0"/>
      <w:outlineLvl w:val="4"/>
    </w:pPr>
    <w:rPr>
      <w:rFonts w:ascii="Times New Roman" w:hAnsi="Times New Roman" w:cs="Times New Roman"/>
      <w:i/>
      <w:iCs/>
      <w:sz w:val="22"/>
      <w:szCs w:val="22"/>
    </w:rPr>
  </w:style>
  <w:style w:type="paragraph" w:styleId="Heading6">
    <w:name w:val="heading 6"/>
    <w:basedOn w:val="ListParagraph"/>
    <w:next w:val="Normal"/>
    <w:link w:val="Heading6Char"/>
    <w:uiPriority w:val="9"/>
    <w:unhideWhenUsed/>
    <w:qFormat/>
    <w:rsid w:val="008F610D"/>
    <w:pPr>
      <w:widowControl w:val="0"/>
      <w:numPr>
        <w:numId w:val="67"/>
      </w:numPr>
      <w:spacing w:after="240"/>
      <w:outlineLvl w:val="5"/>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08C"/>
    <w:pPr>
      <w:spacing w:after="0" w:line="240" w:lineRule="auto"/>
      <w:ind w:left="720"/>
      <w:contextualSpacing/>
    </w:pPr>
    <w:rPr>
      <w:sz w:val="24"/>
      <w:szCs w:val="24"/>
    </w:rPr>
  </w:style>
  <w:style w:type="paragraph" w:styleId="FootnoteText">
    <w:name w:val="footnote text"/>
    <w:aliases w:val="fn,ft,Style 14,Car,FT,Footnote Text Char1,Footnote Text Char Char,Footnote Text Char1 Char Char,Footnote Text Char Char1 Char Char,FT Char Char1 Char Char,fn Char Char Char Char,FT Char Char,fn Char Char,Footnote Text Char Char1,FN,C,f,F"/>
    <w:basedOn w:val="Normal"/>
    <w:link w:val="FootnoteTextChar"/>
    <w:uiPriority w:val="99"/>
    <w:unhideWhenUsed/>
    <w:qFormat/>
    <w:rsid w:val="00DF508C"/>
    <w:pPr>
      <w:spacing w:after="0" w:line="240" w:lineRule="auto"/>
    </w:pPr>
    <w:rPr>
      <w:rFonts w:ascii="Times New Roman" w:eastAsia="Calibri" w:hAnsi="Times New Roman" w:cs="TimesNewRomanPSMT"/>
      <w:sz w:val="20"/>
      <w:szCs w:val="20"/>
    </w:rPr>
  </w:style>
  <w:style w:type="character" w:customStyle="1" w:styleId="FootnoteTextChar">
    <w:name w:val="Footnote Text Char"/>
    <w:aliases w:val="fn Char,ft Char,Style 14 Char,Car Char,FT Char,Footnote Text Char1 Char,Footnote Text Char Char Char,Footnote Text Char1 Char Char Char,Footnote Text Char Char1 Char Char Char,FT Char Char1 Char Char Char,fn Char Char Char Char Char"/>
    <w:basedOn w:val="DefaultParagraphFont"/>
    <w:link w:val="FootnoteText"/>
    <w:uiPriority w:val="99"/>
    <w:rsid w:val="00DF508C"/>
    <w:rPr>
      <w:rFonts w:ascii="Times New Roman" w:eastAsia="Calibri" w:hAnsi="Times New Roman" w:cs="TimesNewRomanPSMT"/>
      <w:sz w:val="20"/>
      <w:szCs w:val="20"/>
    </w:rPr>
  </w:style>
  <w:style w:type="character" w:styleId="FootnoteReference">
    <w:name w:val="footnote reference"/>
    <w:aliases w:val="fr,Style 13,o,Style 49,Style 23,Footnote ReferenceW,Footnote Reference1,Footnote Reference2,Style 41,KT,Style 18,WORD Footnote Reference,Style 9,Style 5,text + Black,WORD Footnote,FC,Style 17,Style 10,Style 7,Style 28,Style 29,*,Black"/>
    <w:uiPriority w:val="69"/>
    <w:unhideWhenUsed/>
    <w:qFormat/>
    <w:rsid w:val="00DF508C"/>
    <w:rPr>
      <w:vertAlign w:val="superscript"/>
    </w:rPr>
  </w:style>
  <w:style w:type="character" w:styleId="CommentReference">
    <w:name w:val="annotation reference"/>
    <w:basedOn w:val="DefaultParagraphFont"/>
    <w:uiPriority w:val="99"/>
    <w:semiHidden/>
    <w:unhideWhenUsed/>
    <w:rsid w:val="0042531D"/>
    <w:rPr>
      <w:sz w:val="16"/>
      <w:szCs w:val="16"/>
    </w:rPr>
  </w:style>
  <w:style w:type="paragraph" w:styleId="CommentText">
    <w:name w:val="annotation text"/>
    <w:basedOn w:val="Normal"/>
    <w:link w:val="CommentTextChar"/>
    <w:uiPriority w:val="99"/>
    <w:semiHidden/>
    <w:unhideWhenUsed/>
    <w:rsid w:val="0042531D"/>
    <w:pPr>
      <w:spacing w:line="240" w:lineRule="auto"/>
    </w:pPr>
    <w:rPr>
      <w:sz w:val="20"/>
      <w:szCs w:val="20"/>
    </w:rPr>
  </w:style>
  <w:style w:type="character" w:customStyle="1" w:styleId="CommentTextChar">
    <w:name w:val="Comment Text Char"/>
    <w:basedOn w:val="DefaultParagraphFont"/>
    <w:link w:val="CommentText"/>
    <w:uiPriority w:val="99"/>
    <w:semiHidden/>
    <w:rsid w:val="0042531D"/>
    <w:rPr>
      <w:sz w:val="20"/>
      <w:szCs w:val="20"/>
    </w:rPr>
  </w:style>
  <w:style w:type="paragraph" w:styleId="CommentSubject">
    <w:name w:val="annotation subject"/>
    <w:basedOn w:val="CommentText"/>
    <w:next w:val="CommentText"/>
    <w:link w:val="CommentSubjectChar"/>
    <w:uiPriority w:val="99"/>
    <w:semiHidden/>
    <w:unhideWhenUsed/>
    <w:rsid w:val="0042531D"/>
    <w:rPr>
      <w:b/>
      <w:bCs/>
    </w:rPr>
  </w:style>
  <w:style w:type="character" w:customStyle="1" w:styleId="CommentSubjectChar">
    <w:name w:val="Comment Subject Char"/>
    <w:basedOn w:val="CommentTextChar"/>
    <w:link w:val="CommentSubject"/>
    <w:uiPriority w:val="99"/>
    <w:semiHidden/>
    <w:rsid w:val="0042531D"/>
    <w:rPr>
      <w:b/>
      <w:bCs/>
      <w:sz w:val="20"/>
      <w:szCs w:val="20"/>
    </w:rPr>
  </w:style>
  <w:style w:type="character" w:customStyle="1" w:styleId="Heading1Char">
    <w:name w:val="Heading 1 Char"/>
    <w:basedOn w:val="DefaultParagraphFont"/>
    <w:link w:val="Heading1"/>
    <w:uiPriority w:val="9"/>
    <w:rsid w:val="0017193D"/>
    <w:rPr>
      <w:rFonts w:ascii="Times New Roman" w:hAnsi="Times New Roman" w:cs="Times New Roman"/>
      <w:b/>
      <w:bCs/>
      <w:caps/>
    </w:rPr>
  </w:style>
  <w:style w:type="character" w:customStyle="1" w:styleId="Heading2Char">
    <w:name w:val="Heading 2 Char"/>
    <w:basedOn w:val="DefaultParagraphFont"/>
    <w:link w:val="Heading2"/>
    <w:uiPriority w:val="9"/>
    <w:rsid w:val="0017193D"/>
    <w:rPr>
      <w:rFonts w:ascii="Times New Roman" w:hAnsi="Times New Roman" w:cs="Times New Roman"/>
      <w:b/>
      <w:bCs/>
      <w:smallCaps/>
    </w:rPr>
  </w:style>
  <w:style w:type="paragraph" w:styleId="Header">
    <w:name w:val="header"/>
    <w:basedOn w:val="Normal"/>
    <w:link w:val="HeaderChar"/>
    <w:uiPriority w:val="99"/>
    <w:semiHidden/>
    <w:unhideWhenUsed/>
    <w:rsid w:val="00D475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75BB"/>
  </w:style>
  <w:style w:type="paragraph" w:styleId="Footer">
    <w:name w:val="footer"/>
    <w:basedOn w:val="Normal"/>
    <w:link w:val="FooterChar"/>
    <w:uiPriority w:val="99"/>
    <w:semiHidden/>
    <w:unhideWhenUsed/>
    <w:rsid w:val="00D475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75BB"/>
  </w:style>
  <w:style w:type="paragraph" w:styleId="Revision">
    <w:name w:val="Revision"/>
    <w:hidden/>
    <w:uiPriority w:val="99"/>
    <w:semiHidden/>
    <w:rsid w:val="00E11D76"/>
    <w:pPr>
      <w:spacing w:after="0" w:line="240" w:lineRule="auto"/>
    </w:pPr>
  </w:style>
  <w:style w:type="character" w:customStyle="1" w:styleId="Heading3Char">
    <w:name w:val="Heading 3 Char"/>
    <w:basedOn w:val="DefaultParagraphFont"/>
    <w:link w:val="Heading3"/>
    <w:uiPriority w:val="9"/>
    <w:rsid w:val="0017193D"/>
    <w:rPr>
      <w:rFonts w:ascii="Times New Roman" w:eastAsiaTheme="majorEastAsia" w:hAnsi="Times New Roman" w:cstheme="majorBidi"/>
      <w:b/>
      <w:szCs w:val="24"/>
    </w:rPr>
  </w:style>
  <w:style w:type="character" w:styleId="Hyperlink">
    <w:name w:val="Hyperlink"/>
    <w:basedOn w:val="DefaultParagraphFont"/>
    <w:uiPriority w:val="99"/>
    <w:unhideWhenUsed/>
    <w:rsid w:val="00831234"/>
    <w:rPr>
      <w:color w:val="0563C1" w:themeColor="hyperlink"/>
      <w:u w:val="single"/>
    </w:rPr>
  </w:style>
  <w:style w:type="character" w:styleId="UnresolvedMention">
    <w:name w:val="Unresolved Mention"/>
    <w:basedOn w:val="DefaultParagraphFont"/>
    <w:uiPriority w:val="99"/>
    <w:semiHidden/>
    <w:unhideWhenUsed/>
    <w:rsid w:val="00831234"/>
    <w:rPr>
      <w:color w:val="605E5C"/>
      <w:shd w:val="clear" w:color="auto" w:fill="E1DFDD"/>
    </w:rPr>
  </w:style>
  <w:style w:type="character" w:customStyle="1" w:styleId="Heading4Char">
    <w:name w:val="Heading 4 Char"/>
    <w:basedOn w:val="DefaultParagraphFont"/>
    <w:link w:val="Heading4"/>
    <w:uiPriority w:val="9"/>
    <w:rsid w:val="00613020"/>
    <w:rPr>
      <w:rFonts w:ascii="Times New Roman" w:hAnsi="Times New Roman" w:cs="Times New Roman"/>
      <w:i/>
      <w:iCs/>
    </w:rPr>
  </w:style>
  <w:style w:type="paragraph" w:styleId="EndnoteText">
    <w:name w:val="endnote text"/>
    <w:basedOn w:val="Normal"/>
    <w:link w:val="EndnoteTextChar"/>
    <w:uiPriority w:val="99"/>
    <w:semiHidden/>
    <w:unhideWhenUsed/>
    <w:rsid w:val="00F379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7911"/>
    <w:rPr>
      <w:sz w:val="20"/>
      <w:szCs w:val="20"/>
    </w:rPr>
  </w:style>
  <w:style w:type="character" w:styleId="EndnoteReference">
    <w:name w:val="endnote reference"/>
    <w:basedOn w:val="DefaultParagraphFont"/>
    <w:uiPriority w:val="99"/>
    <w:semiHidden/>
    <w:unhideWhenUsed/>
    <w:rsid w:val="00F37911"/>
    <w:rPr>
      <w:vertAlign w:val="superscript"/>
    </w:rPr>
  </w:style>
  <w:style w:type="character" w:styleId="FollowedHyperlink">
    <w:name w:val="FollowedHyperlink"/>
    <w:basedOn w:val="DefaultParagraphFont"/>
    <w:uiPriority w:val="99"/>
    <w:semiHidden/>
    <w:unhideWhenUsed/>
    <w:rsid w:val="00875D5A"/>
    <w:rPr>
      <w:color w:val="954F72" w:themeColor="followedHyperlink"/>
      <w:u w:val="single"/>
    </w:rPr>
  </w:style>
  <w:style w:type="character" w:customStyle="1" w:styleId="Heading5Char">
    <w:name w:val="Heading 5 Char"/>
    <w:basedOn w:val="DefaultParagraphFont"/>
    <w:link w:val="Heading5"/>
    <w:uiPriority w:val="9"/>
    <w:rsid w:val="00096DD0"/>
    <w:rPr>
      <w:rFonts w:ascii="Times New Roman" w:hAnsi="Times New Roman" w:cs="Times New Roman"/>
      <w:i/>
      <w:iCs/>
    </w:rPr>
  </w:style>
  <w:style w:type="character" w:customStyle="1" w:styleId="Heading6Char">
    <w:name w:val="Heading 6 Char"/>
    <w:basedOn w:val="DefaultParagraphFont"/>
    <w:link w:val="Heading6"/>
    <w:uiPriority w:val="9"/>
    <w:rsid w:val="00A87450"/>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765">
      <w:bodyDiv w:val="1"/>
      <w:marLeft w:val="0"/>
      <w:marRight w:val="0"/>
      <w:marTop w:val="0"/>
      <w:marBottom w:val="0"/>
      <w:divBdr>
        <w:top w:val="none" w:sz="0" w:space="0" w:color="auto"/>
        <w:left w:val="none" w:sz="0" w:space="0" w:color="auto"/>
        <w:bottom w:val="none" w:sz="0" w:space="0" w:color="auto"/>
        <w:right w:val="none" w:sz="0" w:space="0" w:color="auto"/>
      </w:divBdr>
      <w:divsChild>
        <w:div w:id="1428313027">
          <w:marLeft w:val="446"/>
          <w:marRight w:val="0"/>
          <w:marTop w:val="0"/>
          <w:marBottom w:val="240"/>
          <w:divBdr>
            <w:top w:val="none" w:sz="0" w:space="0" w:color="auto"/>
            <w:left w:val="none" w:sz="0" w:space="0" w:color="auto"/>
            <w:bottom w:val="none" w:sz="0" w:space="0" w:color="auto"/>
            <w:right w:val="none" w:sz="0" w:space="0" w:color="auto"/>
          </w:divBdr>
        </w:div>
      </w:divsChild>
    </w:div>
    <w:div w:id="79714662">
      <w:bodyDiv w:val="1"/>
      <w:marLeft w:val="0"/>
      <w:marRight w:val="0"/>
      <w:marTop w:val="0"/>
      <w:marBottom w:val="0"/>
      <w:divBdr>
        <w:top w:val="none" w:sz="0" w:space="0" w:color="auto"/>
        <w:left w:val="none" w:sz="0" w:space="0" w:color="auto"/>
        <w:bottom w:val="none" w:sz="0" w:space="0" w:color="auto"/>
        <w:right w:val="none" w:sz="0" w:space="0" w:color="auto"/>
      </w:divBdr>
      <w:divsChild>
        <w:div w:id="1856923882">
          <w:marLeft w:val="994"/>
          <w:marRight w:val="0"/>
          <w:marTop w:val="0"/>
          <w:marBottom w:val="120"/>
          <w:divBdr>
            <w:top w:val="none" w:sz="0" w:space="0" w:color="auto"/>
            <w:left w:val="none" w:sz="0" w:space="0" w:color="auto"/>
            <w:bottom w:val="none" w:sz="0" w:space="0" w:color="auto"/>
            <w:right w:val="none" w:sz="0" w:space="0" w:color="auto"/>
          </w:divBdr>
        </w:div>
      </w:divsChild>
    </w:div>
    <w:div w:id="84235095">
      <w:bodyDiv w:val="1"/>
      <w:marLeft w:val="0"/>
      <w:marRight w:val="0"/>
      <w:marTop w:val="0"/>
      <w:marBottom w:val="0"/>
      <w:divBdr>
        <w:top w:val="none" w:sz="0" w:space="0" w:color="auto"/>
        <w:left w:val="none" w:sz="0" w:space="0" w:color="auto"/>
        <w:bottom w:val="none" w:sz="0" w:space="0" w:color="auto"/>
        <w:right w:val="none" w:sz="0" w:space="0" w:color="auto"/>
      </w:divBdr>
      <w:divsChild>
        <w:div w:id="963391098">
          <w:marLeft w:val="907"/>
          <w:marRight w:val="0"/>
          <w:marTop w:val="0"/>
          <w:marBottom w:val="120"/>
          <w:divBdr>
            <w:top w:val="none" w:sz="0" w:space="0" w:color="auto"/>
            <w:left w:val="none" w:sz="0" w:space="0" w:color="auto"/>
            <w:bottom w:val="none" w:sz="0" w:space="0" w:color="auto"/>
            <w:right w:val="none" w:sz="0" w:space="0" w:color="auto"/>
          </w:divBdr>
        </w:div>
      </w:divsChild>
    </w:div>
    <w:div w:id="503517983">
      <w:bodyDiv w:val="1"/>
      <w:marLeft w:val="0"/>
      <w:marRight w:val="0"/>
      <w:marTop w:val="0"/>
      <w:marBottom w:val="0"/>
      <w:divBdr>
        <w:top w:val="none" w:sz="0" w:space="0" w:color="auto"/>
        <w:left w:val="none" w:sz="0" w:space="0" w:color="auto"/>
        <w:bottom w:val="none" w:sz="0" w:space="0" w:color="auto"/>
        <w:right w:val="none" w:sz="0" w:space="0" w:color="auto"/>
      </w:divBdr>
      <w:divsChild>
        <w:div w:id="726954643">
          <w:marLeft w:val="1354"/>
          <w:marRight w:val="0"/>
          <w:marTop w:val="0"/>
          <w:marBottom w:val="240"/>
          <w:divBdr>
            <w:top w:val="none" w:sz="0" w:space="0" w:color="auto"/>
            <w:left w:val="none" w:sz="0" w:space="0" w:color="auto"/>
            <w:bottom w:val="none" w:sz="0" w:space="0" w:color="auto"/>
            <w:right w:val="none" w:sz="0" w:space="0" w:color="auto"/>
          </w:divBdr>
        </w:div>
      </w:divsChild>
    </w:div>
    <w:div w:id="558519077">
      <w:bodyDiv w:val="1"/>
      <w:marLeft w:val="0"/>
      <w:marRight w:val="0"/>
      <w:marTop w:val="0"/>
      <w:marBottom w:val="0"/>
      <w:divBdr>
        <w:top w:val="none" w:sz="0" w:space="0" w:color="auto"/>
        <w:left w:val="none" w:sz="0" w:space="0" w:color="auto"/>
        <w:bottom w:val="none" w:sz="0" w:space="0" w:color="auto"/>
        <w:right w:val="none" w:sz="0" w:space="0" w:color="auto"/>
      </w:divBdr>
    </w:div>
    <w:div w:id="573709262">
      <w:bodyDiv w:val="1"/>
      <w:marLeft w:val="0"/>
      <w:marRight w:val="0"/>
      <w:marTop w:val="0"/>
      <w:marBottom w:val="0"/>
      <w:divBdr>
        <w:top w:val="none" w:sz="0" w:space="0" w:color="auto"/>
        <w:left w:val="none" w:sz="0" w:space="0" w:color="auto"/>
        <w:bottom w:val="none" w:sz="0" w:space="0" w:color="auto"/>
        <w:right w:val="none" w:sz="0" w:space="0" w:color="auto"/>
      </w:divBdr>
      <w:divsChild>
        <w:div w:id="1717655028">
          <w:marLeft w:val="1354"/>
          <w:marRight w:val="0"/>
          <w:marTop w:val="0"/>
          <w:marBottom w:val="240"/>
          <w:divBdr>
            <w:top w:val="none" w:sz="0" w:space="0" w:color="auto"/>
            <w:left w:val="none" w:sz="0" w:space="0" w:color="auto"/>
            <w:bottom w:val="none" w:sz="0" w:space="0" w:color="auto"/>
            <w:right w:val="none" w:sz="0" w:space="0" w:color="auto"/>
          </w:divBdr>
        </w:div>
      </w:divsChild>
    </w:div>
    <w:div w:id="614213424">
      <w:bodyDiv w:val="1"/>
      <w:marLeft w:val="0"/>
      <w:marRight w:val="0"/>
      <w:marTop w:val="0"/>
      <w:marBottom w:val="0"/>
      <w:divBdr>
        <w:top w:val="none" w:sz="0" w:space="0" w:color="auto"/>
        <w:left w:val="none" w:sz="0" w:space="0" w:color="auto"/>
        <w:bottom w:val="none" w:sz="0" w:space="0" w:color="auto"/>
        <w:right w:val="none" w:sz="0" w:space="0" w:color="auto"/>
      </w:divBdr>
      <w:divsChild>
        <w:div w:id="58601566">
          <w:marLeft w:val="446"/>
          <w:marRight w:val="0"/>
          <w:marTop w:val="0"/>
          <w:marBottom w:val="240"/>
          <w:divBdr>
            <w:top w:val="none" w:sz="0" w:space="0" w:color="auto"/>
            <w:left w:val="none" w:sz="0" w:space="0" w:color="auto"/>
            <w:bottom w:val="none" w:sz="0" w:space="0" w:color="auto"/>
            <w:right w:val="none" w:sz="0" w:space="0" w:color="auto"/>
          </w:divBdr>
        </w:div>
      </w:divsChild>
    </w:div>
    <w:div w:id="652805306">
      <w:bodyDiv w:val="1"/>
      <w:marLeft w:val="0"/>
      <w:marRight w:val="0"/>
      <w:marTop w:val="0"/>
      <w:marBottom w:val="0"/>
      <w:divBdr>
        <w:top w:val="none" w:sz="0" w:space="0" w:color="auto"/>
        <w:left w:val="none" w:sz="0" w:space="0" w:color="auto"/>
        <w:bottom w:val="none" w:sz="0" w:space="0" w:color="auto"/>
        <w:right w:val="none" w:sz="0" w:space="0" w:color="auto"/>
      </w:divBdr>
      <w:divsChild>
        <w:div w:id="614022276">
          <w:marLeft w:val="994"/>
          <w:marRight w:val="0"/>
          <w:marTop w:val="0"/>
          <w:marBottom w:val="120"/>
          <w:divBdr>
            <w:top w:val="none" w:sz="0" w:space="0" w:color="auto"/>
            <w:left w:val="none" w:sz="0" w:space="0" w:color="auto"/>
            <w:bottom w:val="none" w:sz="0" w:space="0" w:color="auto"/>
            <w:right w:val="none" w:sz="0" w:space="0" w:color="auto"/>
          </w:divBdr>
        </w:div>
      </w:divsChild>
    </w:div>
    <w:div w:id="727260970">
      <w:bodyDiv w:val="1"/>
      <w:marLeft w:val="0"/>
      <w:marRight w:val="0"/>
      <w:marTop w:val="0"/>
      <w:marBottom w:val="0"/>
      <w:divBdr>
        <w:top w:val="none" w:sz="0" w:space="0" w:color="auto"/>
        <w:left w:val="none" w:sz="0" w:space="0" w:color="auto"/>
        <w:bottom w:val="none" w:sz="0" w:space="0" w:color="auto"/>
        <w:right w:val="none" w:sz="0" w:space="0" w:color="auto"/>
      </w:divBdr>
      <w:divsChild>
        <w:div w:id="164633760">
          <w:marLeft w:val="893"/>
          <w:marRight w:val="0"/>
          <w:marTop w:val="0"/>
          <w:marBottom w:val="240"/>
          <w:divBdr>
            <w:top w:val="none" w:sz="0" w:space="0" w:color="auto"/>
            <w:left w:val="none" w:sz="0" w:space="0" w:color="auto"/>
            <w:bottom w:val="none" w:sz="0" w:space="0" w:color="auto"/>
            <w:right w:val="none" w:sz="0" w:space="0" w:color="auto"/>
          </w:divBdr>
        </w:div>
      </w:divsChild>
    </w:div>
    <w:div w:id="828669040">
      <w:bodyDiv w:val="1"/>
      <w:marLeft w:val="0"/>
      <w:marRight w:val="0"/>
      <w:marTop w:val="0"/>
      <w:marBottom w:val="0"/>
      <w:divBdr>
        <w:top w:val="none" w:sz="0" w:space="0" w:color="auto"/>
        <w:left w:val="none" w:sz="0" w:space="0" w:color="auto"/>
        <w:bottom w:val="none" w:sz="0" w:space="0" w:color="auto"/>
        <w:right w:val="none" w:sz="0" w:space="0" w:color="auto"/>
      </w:divBdr>
      <w:divsChild>
        <w:div w:id="213934118">
          <w:marLeft w:val="446"/>
          <w:marRight w:val="0"/>
          <w:marTop w:val="0"/>
          <w:marBottom w:val="240"/>
          <w:divBdr>
            <w:top w:val="none" w:sz="0" w:space="0" w:color="auto"/>
            <w:left w:val="none" w:sz="0" w:space="0" w:color="auto"/>
            <w:bottom w:val="none" w:sz="0" w:space="0" w:color="auto"/>
            <w:right w:val="none" w:sz="0" w:space="0" w:color="auto"/>
          </w:divBdr>
        </w:div>
      </w:divsChild>
    </w:div>
    <w:div w:id="1031030598">
      <w:bodyDiv w:val="1"/>
      <w:marLeft w:val="0"/>
      <w:marRight w:val="0"/>
      <w:marTop w:val="0"/>
      <w:marBottom w:val="0"/>
      <w:divBdr>
        <w:top w:val="none" w:sz="0" w:space="0" w:color="auto"/>
        <w:left w:val="none" w:sz="0" w:space="0" w:color="auto"/>
        <w:bottom w:val="none" w:sz="0" w:space="0" w:color="auto"/>
        <w:right w:val="none" w:sz="0" w:space="0" w:color="auto"/>
      </w:divBdr>
      <w:divsChild>
        <w:div w:id="1833787604">
          <w:marLeft w:val="893"/>
          <w:marRight w:val="0"/>
          <w:marTop w:val="0"/>
          <w:marBottom w:val="240"/>
          <w:divBdr>
            <w:top w:val="none" w:sz="0" w:space="0" w:color="auto"/>
            <w:left w:val="none" w:sz="0" w:space="0" w:color="auto"/>
            <w:bottom w:val="none" w:sz="0" w:space="0" w:color="auto"/>
            <w:right w:val="none" w:sz="0" w:space="0" w:color="auto"/>
          </w:divBdr>
        </w:div>
      </w:divsChild>
    </w:div>
    <w:div w:id="1152679812">
      <w:bodyDiv w:val="1"/>
      <w:marLeft w:val="0"/>
      <w:marRight w:val="0"/>
      <w:marTop w:val="0"/>
      <w:marBottom w:val="0"/>
      <w:divBdr>
        <w:top w:val="none" w:sz="0" w:space="0" w:color="auto"/>
        <w:left w:val="none" w:sz="0" w:space="0" w:color="auto"/>
        <w:bottom w:val="none" w:sz="0" w:space="0" w:color="auto"/>
        <w:right w:val="none" w:sz="0" w:space="0" w:color="auto"/>
      </w:divBdr>
      <w:divsChild>
        <w:div w:id="938217108">
          <w:marLeft w:val="403"/>
          <w:marRight w:val="0"/>
          <w:marTop w:val="80"/>
          <w:marBottom w:val="0"/>
          <w:divBdr>
            <w:top w:val="none" w:sz="0" w:space="0" w:color="auto"/>
            <w:left w:val="none" w:sz="0" w:space="0" w:color="auto"/>
            <w:bottom w:val="none" w:sz="0" w:space="0" w:color="auto"/>
            <w:right w:val="none" w:sz="0" w:space="0" w:color="auto"/>
          </w:divBdr>
        </w:div>
      </w:divsChild>
    </w:div>
    <w:div w:id="1159735887">
      <w:bodyDiv w:val="1"/>
      <w:marLeft w:val="0"/>
      <w:marRight w:val="0"/>
      <w:marTop w:val="0"/>
      <w:marBottom w:val="0"/>
      <w:divBdr>
        <w:top w:val="none" w:sz="0" w:space="0" w:color="auto"/>
        <w:left w:val="none" w:sz="0" w:space="0" w:color="auto"/>
        <w:bottom w:val="none" w:sz="0" w:space="0" w:color="auto"/>
        <w:right w:val="none" w:sz="0" w:space="0" w:color="auto"/>
      </w:divBdr>
      <w:divsChild>
        <w:div w:id="2003045709">
          <w:marLeft w:val="547"/>
          <w:marRight w:val="0"/>
          <w:marTop w:val="0"/>
          <w:marBottom w:val="240"/>
          <w:divBdr>
            <w:top w:val="none" w:sz="0" w:space="0" w:color="auto"/>
            <w:left w:val="none" w:sz="0" w:space="0" w:color="auto"/>
            <w:bottom w:val="none" w:sz="0" w:space="0" w:color="auto"/>
            <w:right w:val="none" w:sz="0" w:space="0" w:color="auto"/>
          </w:divBdr>
        </w:div>
      </w:divsChild>
    </w:div>
    <w:div w:id="1159928553">
      <w:bodyDiv w:val="1"/>
      <w:marLeft w:val="0"/>
      <w:marRight w:val="0"/>
      <w:marTop w:val="0"/>
      <w:marBottom w:val="0"/>
      <w:divBdr>
        <w:top w:val="none" w:sz="0" w:space="0" w:color="auto"/>
        <w:left w:val="none" w:sz="0" w:space="0" w:color="auto"/>
        <w:bottom w:val="none" w:sz="0" w:space="0" w:color="auto"/>
        <w:right w:val="none" w:sz="0" w:space="0" w:color="auto"/>
      </w:divBdr>
      <w:divsChild>
        <w:div w:id="351540657">
          <w:marLeft w:val="994"/>
          <w:marRight w:val="0"/>
          <w:marTop w:val="0"/>
          <w:marBottom w:val="120"/>
          <w:divBdr>
            <w:top w:val="none" w:sz="0" w:space="0" w:color="auto"/>
            <w:left w:val="none" w:sz="0" w:space="0" w:color="auto"/>
            <w:bottom w:val="none" w:sz="0" w:space="0" w:color="auto"/>
            <w:right w:val="none" w:sz="0" w:space="0" w:color="auto"/>
          </w:divBdr>
        </w:div>
      </w:divsChild>
    </w:div>
    <w:div w:id="1248810276">
      <w:bodyDiv w:val="1"/>
      <w:marLeft w:val="0"/>
      <w:marRight w:val="0"/>
      <w:marTop w:val="0"/>
      <w:marBottom w:val="0"/>
      <w:divBdr>
        <w:top w:val="none" w:sz="0" w:space="0" w:color="auto"/>
        <w:left w:val="none" w:sz="0" w:space="0" w:color="auto"/>
        <w:bottom w:val="none" w:sz="0" w:space="0" w:color="auto"/>
        <w:right w:val="none" w:sz="0" w:space="0" w:color="auto"/>
      </w:divBdr>
      <w:divsChild>
        <w:div w:id="2000766596">
          <w:marLeft w:val="893"/>
          <w:marRight w:val="0"/>
          <w:marTop w:val="0"/>
          <w:marBottom w:val="240"/>
          <w:divBdr>
            <w:top w:val="none" w:sz="0" w:space="0" w:color="auto"/>
            <w:left w:val="none" w:sz="0" w:space="0" w:color="auto"/>
            <w:bottom w:val="none" w:sz="0" w:space="0" w:color="auto"/>
            <w:right w:val="none" w:sz="0" w:space="0" w:color="auto"/>
          </w:divBdr>
        </w:div>
      </w:divsChild>
    </w:div>
    <w:div w:id="1461875966">
      <w:bodyDiv w:val="1"/>
      <w:marLeft w:val="0"/>
      <w:marRight w:val="0"/>
      <w:marTop w:val="0"/>
      <w:marBottom w:val="0"/>
      <w:divBdr>
        <w:top w:val="none" w:sz="0" w:space="0" w:color="auto"/>
        <w:left w:val="none" w:sz="0" w:space="0" w:color="auto"/>
        <w:bottom w:val="none" w:sz="0" w:space="0" w:color="auto"/>
        <w:right w:val="none" w:sz="0" w:space="0" w:color="auto"/>
      </w:divBdr>
      <w:divsChild>
        <w:div w:id="466558049">
          <w:marLeft w:val="893"/>
          <w:marRight w:val="0"/>
          <w:marTop w:val="0"/>
          <w:marBottom w:val="240"/>
          <w:divBdr>
            <w:top w:val="none" w:sz="0" w:space="0" w:color="auto"/>
            <w:left w:val="none" w:sz="0" w:space="0" w:color="auto"/>
            <w:bottom w:val="none" w:sz="0" w:space="0" w:color="auto"/>
            <w:right w:val="none" w:sz="0" w:space="0" w:color="auto"/>
          </w:divBdr>
        </w:div>
      </w:divsChild>
    </w:div>
    <w:div w:id="1640844966">
      <w:bodyDiv w:val="1"/>
      <w:marLeft w:val="0"/>
      <w:marRight w:val="0"/>
      <w:marTop w:val="0"/>
      <w:marBottom w:val="0"/>
      <w:divBdr>
        <w:top w:val="none" w:sz="0" w:space="0" w:color="auto"/>
        <w:left w:val="none" w:sz="0" w:space="0" w:color="auto"/>
        <w:bottom w:val="none" w:sz="0" w:space="0" w:color="auto"/>
        <w:right w:val="none" w:sz="0" w:space="0" w:color="auto"/>
      </w:divBdr>
      <w:divsChild>
        <w:div w:id="375395682">
          <w:marLeft w:val="994"/>
          <w:marRight w:val="0"/>
          <w:marTop w:val="0"/>
          <w:marBottom w:val="120"/>
          <w:divBdr>
            <w:top w:val="none" w:sz="0" w:space="0" w:color="auto"/>
            <w:left w:val="none" w:sz="0" w:space="0" w:color="auto"/>
            <w:bottom w:val="none" w:sz="0" w:space="0" w:color="auto"/>
            <w:right w:val="none" w:sz="0" w:space="0" w:color="auto"/>
          </w:divBdr>
        </w:div>
      </w:divsChild>
    </w:div>
    <w:div w:id="1685784735">
      <w:bodyDiv w:val="1"/>
      <w:marLeft w:val="0"/>
      <w:marRight w:val="0"/>
      <w:marTop w:val="0"/>
      <w:marBottom w:val="0"/>
      <w:divBdr>
        <w:top w:val="none" w:sz="0" w:space="0" w:color="auto"/>
        <w:left w:val="none" w:sz="0" w:space="0" w:color="auto"/>
        <w:bottom w:val="none" w:sz="0" w:space="0" w:color="auto"/>
        <w:right w:val="none" w:sz="0" w:space="0" w:color="auto"/>
      </w:divBdr>
      <w:divsChild>
        <w:div w:id="742530917">
          <w:marLeft w:val="893"/>
          <w:marRight w:val="0"/>
          <w:marTop w:val="0"/>
          <w:marBottom w:val="240"/>
          <w:divBdr>
            <w:top w:val="none" w:sz="0" w:space="0" w:color="auto"/>
            <w:left w:val="none" w:sz="0" w:space="0" w:color="auto"/>
            <w:bottom w:val="none" w:sz="0" w:space="0" w:color="auto"/>
            <w:right w:val="none" w:sz="0" w:space="0" w:color="auto"/>
          </w:divBdr>
        </w:div>
      </w:divsChild>
    </w:div>
    <w:div w:id="1711421424">
      <w:bodyDiv w:val="1"/>
      <w:marLeft w:val="0"/>
      <w:marRight w:val="0"/>
      <w:marTop w:val="0"/>
      <w:marBottom w:val="0"/>
      <w:divBdr>
        <w:top w:val="none" w:sz="0" w:space="0" w:color="auto"/>
        <w:left w:val="none" w:sz="0" w:space="0" w:color="auto"/>
        <w:bottom w:val="none" w:sz="0" w:space="0" w:color="auto"/>
        <w:right w:val="none" w:sz="0" w:space="0" w:color="auto"/>
      </w:divBdr>
      <w:divsChild>
        <w:div w:id="105587694">
          <w:marLeft w:val="893"/>
          <w:marRight w:val="0"/>
          <w:marTop w:val="0"/>
          <w:marBottom w:val="240"/>
          <w:divBdr>
            <w:top w:val="none" w:sz="0" w:space="0" w:color="auto"/>
            <w:left w:val="none" w:sz="0" w:space="0" w:color="auto"/>
            <w:bottom w:val="none" w:sz="0" w:space="0" w:color="auto"/>
            <w:right w:val="none" w:sz="0" w:space="0" w:color="auto"/>
          </w:divBdr>
        </w:div>
      </w:divsChild>
    </w:div>
    <w:div w:id="1802921300">
      <w:bodyDiv w:val="1"/>
      <w:marLeft w:val="0"/>
      <w:marRight w:val="0"/>
      <w:marTop w:val="0"/>
      <w:marBottom w:val="0"/>
      <w:divBdr>
        <w:top w:val="none" w:sz="0" w:space="0" w:color="auto"/>
        <w:left w:val="none" w:sz="0" w:space="0" w:color="auto"/>
        <w:bottom w:val="none" w:sz="0" w:space="0" w:color="auto"/>
        <w:right w:val="none" w:sz="0" w:space="0" w:color="auto"/>
      </w:divBdr>
      <w:divsChild>
        <w:div w:id="1989161360">
          <w:marLeft w:val="893"/>
          <w:marRight w:val="0"/>
          <w:marTop w:val="0"/>
          <w:marBottom w:val="240"/>
          <w:divBdr>
            <w:top w:val="none" w:sz="0" w:space="0" w:color="auto"/>
            <w:left w:val="none" w:sz="0" w:space="0" w:color="auto"/>
            <w:bottom w:val="none" w:sz="0" w:space="0" w:color="auto"/>
            <w:right w:val="none" w:sz="0" w:space="0" w:color="auto"/>
          </w:divBdr>
        </w:div>
      </w:divsChild>
    </w:div>
    <w:div w:id="1926571243">
      <w:bodyDiv w:val="1"/>
      <w:marLeft w:val="0"/>
      <w:marRight w:val="0"/>
      <w:marTop w:val="0"/>
      <w:marBottom w:val="0"/>
      <w:divBdr>
        <w:top w:val="none" w:sz="0" w:space="0" w:color="auto"/>
        <w:left w:val="none" w:sz="0" w:space="0" w:color="auto"/>
        <w:bottom w:val="none" w:sz="0" w:space="0" w:color="auto"/>
        <w:right w:val="none" w:sz="0" w:space="0" w:color="auto"/>
      </w:divBdr>
      <w:divsChild>
        <w:div w:id="571695282">
          <w:marLeft w:val="893"/>
          <w:marRight w:val="0"/>
          <w:marTop w:val="0"/>
          <w:marBottom w:val="240"/>
          <w:divBdr>
            <w:top w:val="none" w:sz="0" w:space="0" w:color="auto"/>
            <w:left w:val="none" w:sz="0" w:space="0" w:color="auto"/>
            <w:bottom w:val="none" w:sz="0" w:space="0" w:color="auto"/>
            <w:right w:val="none" w:sz="0" w:space="0" w:color="auto"/>
          </w:divBdr>
        </w:div>
        <w:div w:id="783497298">
          <w:marLeft w:val="893"/>
          <w:marRight w:val="0"/>
          <w:marTop w:val="0"/>
          <w:marBottom w:val="240"/>
          <w:divBdr>
            <w:top w:val="none" w:sz="0" w:space="0" w:color="auto"/>
            <w:left w:val="none" w:sz="0" w:space="0" w:color="auto"/>
            <w:bottom w:val="none" w:sz="0" w:space="0" w:color="auto"/>
            <w:right w:val="none" w:sz="0" w:space="0" w:color="auto"/>
          </w:divBdr>
        </w:div>
        <w:div w:id="1027828552">
          <w:marLeft w:val="893"/>
          <w:marRight w:val="0"/>
          <w:marTop w:val="0"/>
          <w:marBottom w:val="240"/>
          <w:divBdr>
            <w:top w:val="none" w:sz="0" w:space="0" w:color="auto"/>
            <w:left w:val="none" w:sz="0" w:space="0" w:color="auto"/>
            <w:bottom w:val="none" w:sz="0" w:space="0" w:color="auto"/>
            <w:right w:val="none" w:sz="0" w:space="0" w:color="auto"/>
          </w:divBdr>
        </w:div>
        <w:div w:id="1286497560">
          <w:marLeft w:val="893"/>
          <w:marRight w:val="0"/>
          <w:marTop w:val="0"/>
          <w:marBottom w:val="240"/>
          <w:divBdr>
            <w:top w:val="none" w:sz="0" w:space="0" w:color="auto"/>
            <w:left w:val="none" w:sz="0" w:space="0" w:color="auto"/>
            <w:bottom w:val="none" w:sz="0" w:space="0" w:color="auto"/>
            <w:right w:val="none" w:sz="0" w:space="0" w:color="auto"/>
          </w:divBdr>
        </w:div>
        <w:div w:id="1904950489">
          <w:marLeft w:val="893"/>
          <w:marRight w:val="0"/>
          <w:marTop w:val="0"/>
          <w:marBottom w:val="240"/>
          <w:divBdr>
            <w:top w:val="none" w:sz="0" w:space="0" w:color="auto"/>
            <w:left w:val="none" w:sz="0" w:space="0" w:color="auto"/>
            <w:bottom w:val="none" w:sz="0" w:space="0" w:color="auto"/>
            <w:right w:val="none" w:sz="0" w:space="0" w:color="auto"/>
          </w:divBdr>
        </w:div>
      </w:divsChild>
    </w:div>
    <w:div w:id="2027978450">
      <w:bodyDiv w:val="1"/>
      <w:marLeft w:val="0"/>
      <w:marRight w:val="0"/>
      <w:marTop w:val="0"/>
      <w:marBottom w:val="0"/>
      <w:divBdr>
        <w:top w:val="none" w:sz="0" w:space="0" w:color="auto"/>
        <w:left w:val="none" w:sz="0" w:space="0" w:color="auto"/>
        <w:bottom w:val="none" w:sz="0" w:space="0" w:color="auto"/>
        <w:right w:val="none" w:sz="0" w:space="0" w:color="auto"/>
      </w:divBdr>
      <w:divsChild>
        <w:div w:id="5720709">
          <w:marLeft w:val="99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dvisors.vanguard.com/tax-center/qualified-dividend-in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E4782B2611974C8C121221254BB9E8" ma:contentTypeVersion="6" ma:contentTypeDescription="Create a new document." ma:contentTypeScope="" ma:versionID="24ef97f865b2e8a6961f3fc82439dcba">
  <xsd:schema xmlns:xsd="http://www.w3.org/2001/XMLSchema" xmlns:xs="http://www.w3.org/2001/XMLSchema" xmlns:p="http://schemas.microsoft.com/office/2006/metadata/properties" xmlns:ns2="9c364865-51c8-4be0-b5d9-c2f006b76d7b" xmlns:ns3="5a55f17a-86c8-4266-b355-e3486d573db3" targetNamespace="http://schemas.microsoft.com/office/2006/metadata/properties" ma:root="true" ma:fieldsID="65226c08d5dca16157657957a5cb06e0" ns2:_="" ns3:_="">
    <xsd:import namespace="9c364865-51c8-4be0-b5d9-c2f006b76d7b"/>
    <xsd:import namespace="5a55f17a-86c8-4266-b355-e3486d573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4865-51c8-4be0-b5d9-c2f006b76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5f17a-86c8-4266-b355-e3486d573d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4BE23-FD33-4F66-8D7E-D47F859864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5AED49-7C50-4CC1-A82A-8E2F912D2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4865-51c8-4be0-b5d9-c2f006b76d7b"/>
    <ds:schemaRef ds:uri="5a55f17a-86c8-4266-b355-e3486d573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FA6B3-4345-404C-8076-3B5A6E27A957}">
  <ds:schemaRefs>
    <ds:schemaRef ds:uri="http://schemas.microsoft.com/sharepoint/v3/contenttype/forms"/>
  </ds:schemaRefs>
</ds:datastoreItem>
</file>

<file path=customXml/itemProps4.xml><?xml version="1.0" encoding="utf-8"?>
<ds:datastoreItem xmlns:ds="http://schemas.openxmlformats.org/officeDocument/2006/customXml" ds:itemID="{9B3EC5FF-3872-4F97-918C-32215DBC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15165</Words>
  <Characters>86441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101404</CharactersWithSpaces>
  <SharedDoc>false</SharedDoc>
  <HLinks>
    <vt:vector size="6" baseType="variant">
      <vt:variant>
        <vt:i4>8061039</vt:i4>
      </vt:variant>
      <vt:variant>
        <vt:i4>0</vt:i4>
      </vt:variant>
      <vt:variant>
        <vt:i4>0</vt:i4>
      </vt:variant>
      <vt:variant>
        <vt:i4>5</vt:i4>
      </vt:variant>
      <vt:variant>
        <vt:lpwstr>https://advisors.vanguard.com/tax-center/qualified-dividend-income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Graves</cp:lastModifiedBy>
  <cp:revision>2</cp:revision>
  <dcterms:created xsi:type="dcterms:W3CDTF">2022-10-31T20:29:00Z</dcterms:created>
  <dcterms:modified xsi:type="dcterms:W3CDTF">2022-10-31T20:29:00Z</dcterms:modified>
</cp:coreProperties>
</file>